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9830E4" w:rsidRPr="0037139E" w:rsidRDefault="009830E4" w:rsidP="007E72D3">
      <w:pPr>
        <w:suppressAutoHyphens/>
        <w:rPr>
          <w:rFonts w:ascii="Times New Roman" w:hAnsi="Times New Roman"/>
          <w:spacing w:val="-2"/>
          <w:szCs w:val="22"/>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186F7D" w:rsidRPr="0037139E" w:rsidRDefault="007C11BE" w:rsidP="00D83BCE">
      <w:pPr>
        <w:rPr>
          <w:rFonts w:ascii="Times New Roman" w:hAnsi="Times New Roman"/>
          <w:b/>
          <w:bCs/>
          <w:szCs w:val="22"/>
        </w:rPr>
      </w:pPr>
      <w:r w:rsidRPr="007C11BE">
        <w:rPr>
          <w:rFonts w:ascii="Times New Roman" w:hAnsi="Times New Roman"/>
          <w:b/>
          <w:bCs/>
          <w:szCs w:val="22"/>
        </w:rPr>
        <w:t>ENVIRONMENTAL CONSULTING FIRM</w:t>
      </w:r>
      <w:r w:rsidR="00B21FC4">
        <w:rPr>
          <w:rFonts w:ascii="Times New Roman" w:hAnsi="Times New Roman"/>
          <w:b/>
          <w:bCs/>
          <w:szCs w:val="22"/>
        </w:rPr>
        <w:t>, Reference No. SER-ECEC-8693YF-</w:t>
      </w:r>
      <w:r w:rsidR="00B21FC4" w:rsidRPr="00B21FC4">
        <w:rPr>
          <w:rFonts w:ascii="Times New Roman" w:hAnsi="Times New Roman"/>
          <w:b/>
          <w:bCs/>
          <w:szCs w:val="22"/>
        </w:rPr>
        <w:t>C</w:t>
      </w:r>
      <w:r w:rsidR="00B21FC4">
        <w:rPr>
          <w:rFonts w:ascii="Times New Roman" w:hAnsi="Times New Roman"/>
          <w:b/>
          <w:bCs/>
          <w:szCs w:val="22"/>
        </w:rPr>
        <w:t>Q</w:t>
      </w:r>
      <w:r w:rsidR="00B21FC4" w:rsidRPr="00B21FC4">
        <w:rPr>
          <w:rFonts w:ascii="Times New Roman" w:hAnsi="Times New Roman"/>
          <w:b/>
          <w:bCs/>
          <w:szCs w:val="22"/>
        </w:rPr>
        <w:t>-CS-19-</w:t>
      </w:r>
      <w:r>
        <w:rPr>
          <w:rFonts w:ascii="Times New Roman" w:hAnsi="Times New Roman"/>
          <w:b/>
          <w:bCs/>
          <w:szCs w:val="22"/>
        </w:rPr>
        <w:t>46</w:t>
      </w:r>
    </w:p>
    <w:p w:rsidR="009830E4" w:rsidRPr="0037139E" w:rsidRDefault="009830E4" w:rsidP="007E72D3">
      <w:pPr>
        <w:suppressAutoHyphens/>
        <w:rPr>
          <w:rFonts w:ascii="Times New Roman" w:hAnsi="Times New Roman"/>
          <w:spacing w:val="-2"/>
          <w:szCs w:val="22"/>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in the amount of US$ 50,000,000 equivalent from the World Bank toward the cost of the Inclusive Early Childhood Education and Care Project, and intends to apply part of the proceeds for consulting services. </w:t>
      </w:r>
    </w:p>
    <w:p w:rsidR="00395649" w:rsidRPr="00395649" w:rsidRDefault="00395649" w:rsidP="00395649">
      <w:pPr>
        <w:spacing w:before="120" w:after="120"/>
        <w:jc w:val="both"/>
        <w:rPr>
          <w:rFonts w:ascii="Times New Roman" w:hAnsi="Times New Roman"/>
          <w:spacing w:val="-2"/>
          <w:szCs w:val="22"/>
        </w:rPr>
      </w:pPr>
      <w:r w:rsidRPr="00395649">
        <w:rPr>
          <w:rFonts w:ascii="Times New Roman" w:hAnsi="Times New Roman"/>
          <w:spacing w:val="-2"/>
          <w:szCs w:val="22"/>
        </w:rPr>
        <w:t xml:space="preserve">The Consulting Firm is responsible for carrying out all the activities related to environmental and social safeguard arrangements for the Project. Consulting firm is responsible for ensuring that all civil works related activities under Project Component 1 </w:t>
      </w:r>
      <w:proofErr w:type="gramStart"/>
      <w:r w:rsidRPr="00395649">
        <w:rPr>
          <w:rFonts w:ascii="Times New Roman" w:hAnsi="Times New Roman"/>
          <w:spacing w:val="-2"/>
          <w:szCs w:val="22"/>
        </w:rPr>
        <w:t>are undertaken</w:t>
      </w:r>
      <w:proofErr w:type="gramEnd"/>
      <w:r w:rsidRPr="00395649">
        <w:rPr>
          <w:rFonts w:ascii="Times New Roman" w:hAnsi="Times New Roman"/>
          <w:spacing w:val="-2"/>
          <w:szCs w:val="22"/>
        </w:rPr>
        <w:t xml:space="preserve"> in full compliance with the Project’s Environmental and Social Management Framework (ESMF). </w:t>
      </w:r>
      <w:proofErr w:type="gramStart"/>
      <w:r w:rsidRPr="00395649">
        <w:rPr>
          <w:rFonts w:ascii="Times New Roman" w:hAnsi="Times New Roman"/>
          <w:spacing w:val="-2"/>
          <w:szCs w:val="22"/>
        </w:rPr>
        <w:t xml:space="preserve">This includes, but is not limited to: preparation of draft site-specific ESMPs, discussing these with the </w:t>
      </w:r>
      <w:r>
        <w:rPr>
          <w:rFonts w:ascii="Times New Roman" w:hAnsi="Times New Roman"/>
          <w:spacing w:val="-2"/>
          <w:szCs w:val="22"/>
        </w:rPr>
        <w:t xml:space="preserve">World </w:t>
      </w:r>
      <w:r w:rsidRPr="00395649">
        <w:rPr>
          <w:rFonts w:ascii="Times New Roman" w:hAnsi="Times New Roman"/>
          <w:spacing w:val="-2"/>
          <w:szCs w:val="22"/>
        </w:rPr>
        <w:t>Bank and Ministry</w:t>
      </w:r>
      <w:r>
        <w:rPr>
          <w:rFonts w:ascii="Times New Roman" w:hAnsi="Times New Roman"/>
          <w:spacing w:val="-2"/>
          <w:szCs w:val="22"/>
        </w:rPr>
        <w:t xml:space="preserve"> of Education</w:t>
      </w:r>
      <w:r w:rsidRPr="00395649">
        <w:rPr>
          <w:rFonts w:ascii="Times New Roman" w:hAnsi="Times New Roman"/>
          <w:spacing w:val="-2"/>
          <w:szCs w:val="22"/>
        </w:rPr>
        <w:t>,</w:t>
      </w:r>
      <w:r>
        <w:rPr>
          <w:rFonts w:ascii="Times New Roman" w:hAnsi="Times New Roman"/>
          <w:spacing w:val="-2"/>
          <w:szCs w:val="22"/>
        </w:rPr>
        <w:t xml:space="preserve"> Science and Technological Development (</w:t>
      </w:r>
      <w:proofErr w:type="spellStart"/>
      <w:r>
        <w:rPr>
          <w:rFonts w:ascii="Times New Roman" w:hAnsi="Times New Roman"/>
          <w:spacing w:val="-2"/>
          <w:szCs w:val="22"/>
        </w:rPr>
        <w:t>MoESTD</w:t>
      </w:r>
      <w:proofErr w:type="spellEnd"/>
      <w:r>
        <w:rPr>
          <w:rFonts w:ascii="Times New Roman" w:hAnsi="Times New Roman"/>
          <w:spacing w:val="-2"/>
          <w:szCs w:val="22"/>
        </w:rPr>
        <w:t>)</w:t>
      </w:r>
      <w:r w:rsidRPr="00395649">
        <w:rPr>
          <w:rFonts w:ascii="Times New Roman" w:hAnsi="Times New Roman"/>
          <w:spacing w:val="-2"/>
          <w:szCs w:val="22"/>
        </w:rPr>
        <w:t xml:space="preserve"> their reviews and finalization; preparation and participation in the process of ESMP public disclosure, including presentation of ESMPs, preparation of Minutes of Public Meeting, and submission and discussion with the Bank and the Ministry; contribution to preparation of Tender Documents for the respective civil work contracts, and participation in the tender evaluation, if required by the Project Director; undertaking site visits and reviewing contractors’ compliance with site-specific ESMPs, including determining and suggesting remedial actions; preparation of non-compliance reports and keeping track of respective responses/actions undertaken; preparation of periodic Environmental Compliance Monitoring Reports; participating at the official meetings with the Bank; participating in the WB and the Ministry periodical missions; other actions to enable the Project to meet the environmental and social requirements within the legal framework of the Republic of Serbia and in accordance with the World Bank’s environmental and social policies and procedures.</w:t>
      </w:r>
      <w:proofErr w:type="gramEnd"/>
      <w:r w:rsidRPr="00395649">
        <w:rPr>
          <w:rFonts w:ascii="Times New Roman" w:hAnsi="Times New Roman"/>
          <w:spacing w:val="-2"/>
          <w:szCs w:val="22"/>
        </w:rPr>
        <w:t xml:space="preserve"> The Consulting firm will also be responsible for reviewing draft site-specific ESMPs if </w:t>
      </w:r>
      <w:proofErr w:type="gramStart"/>
      <w:r w:rsidRPr="00395649">
        <w:rPr>
          <w:rFonts w:ascii="Times New Roman" w:hAnsi="Times New Roman"/>
          <w:spacing w:val="-2"/>
          <w:szCs w:val="22"/>
        </w:rPr>
        <w:t>prepared</w:t>
      </w:r>
      <w:proofErr w:type="gramEnd"/>
      <w:r w:rsidRPr="00395649">
        <w:rPr>
          <w:rFonts w:ascii="Times New Roman" w:hAnsi="Times New Roman"/>
          <w:spacing w:val="-2"/>
          <w:szCs w:val="22"/>
        </w:rPr>
        <w:t xml:space="preserve"> by the third parties, and dealing with the comments as may be received from the Bank. </w:t>
      </w:r>
    </w:p>
    <w:p w:rsidR="00332518" w:rsidRPr="0037139E" w:rsidRDefault="00DB4425" w:rsidP="00F648FF">
      <w:pPr>
        <w:suppressAutoHyphens/>
        <w:spacing w:before="120" w:after="120"/>
        <w:jc w:val="both"/>
        <w:rPr>
          <w:rFonts w:ascii="Times New Roman" w:hAnsi="Times New Roman"/>
          <w:spacing w:val="-2"/>
          <w:szCs w:val="22"/>
        </w:rPr>
      </w:pPr>
      <w:r>
        <w:rPr>
          <w:rFonts w:ascii="Times New Roman" w:hAnsi="Times New Roman"/>
          <w:spacing w:val="-2"/>
          <w:szCs w:val="22"/>
        </w:rPr>
        <w:t xml:space="preserve">Services </w:t>
      </w:r>
      <w:proofErr w:type="gramStart"/>
      <w:r>
        <w:rPr>
          <w:rFonts w:ascii="Times New Roman" w:hAnsi="Times New Roman"/>
          <w:spacing w:val="-2"/>
          <w:szCs w:val="22"/>
        </w:rPr>
        <w:t>are</w:t>
      </w:r>
      <w:r w:rsidR="005D5E33" w:rsidRPr="0037139E">
        <w:rPr>
          <w:rFonts w:ascii="Times New Roman" w:hAnsi="Times New Roman"/>
          <w:spacing w:val="-2"/>
          <w:szCs w:val="22"/>
        </w:rPr>
        <w:t xml:space="preserve"> expected</w:t>
      </w:r>
      <w:proofErr w:type="gramEnd"/>
      <w:r w:rsidR="005D5E33" w:rsidRPr="0037139E">
        <w:rPr>
          <w:rFonts w:ascii="Times New Roman" w:hAnsi="Times New Roman"/>
          <w:spacing w:val="-2"/>
          <w:szCs w:val="22"/>
        </w:rPr>
        <w:t xml:space="preserve"> to </w:t>
      </w:r>
      <w:r w:rsidR="00E25788">
        <w:rPr>
          <w:rFonts w:ascii="Times New Roman" w:hAnsi="Times New Roman"/>
          <w:spacing w:val="-2"/>
          <w:szCs w:val="22"/>
        </w:rPr>
        <w:t xml:space="preserve">start </w:t>
      </w:r>
      <w:r>
        <w:rPr>
          <w:rFonts w:ascii="Times New Roman" w:hAnsi="Times New Roman"/>
          <w:spacing w:val="-2"/>
          <w:szCs w:val="22"/>
        </w:rPr>
        <w:t xml:space="preserve">in </w:t>
      </w:r>
      <w:r w:rsidR="007C11BE">
        <w:rPr>
          <w:rFonts w:ascii="Times New Roman" w:hAnsi="Times New Roman"/>
          <w:spacing w:val="-2"/>
          <w:szCs w:val="22"/>
        </w:rPr>
        <w:t>December</w:t>
      </w:r>
      <w:r w:rsidR="00332518" w:rsidRPr="0037139E">
        <w:rPr>
          <w:rFonts w:ascii="Times New Roman" w:hAnsi="Times New Roman"/>
          <w:spacing w:val="-2"/>
          <w:szCs w:val="22"/>
        </w:rPr>
        <w:t xml:space="preserve"> 201</w:t>
      </w:r>
      <w:r>
        <w:rPr>
          <w:rFonts w:ascii="Times New Roman" w:hAnsi="Times New Roman"/>
          <w:spacing w:val="-2"/>
          <w:szCs w:val="22"/>
        </w:rPr>
        <w:t>9</w:t>
      </w:r>
      <w:r w:rsidR="00332518" w:rsidRPr="0037139E">
        <w:rPr>
          <w:rFonts w:ascii="Times New Roman" w:hAnsi="Times New Roman"/>
          <w:spacing w:val="-2"/>
          <w:szCs w:val="22"/>
        </w:rPr>
        <w:t xml:space="preserve"> and to be finished by </w:t>
      </w:r>
      <w:r>
        <w:rPr>
          <w:rFonts w:ascii="Times New Roman" w:hAnsi="Times New Roman"/>
          <w:spacing w:val="-2"/>
          <w:szCs w:val="22"/>
        </w:rPr>
        <w:t>the</w:t>
      </w:r>
      <w:r w:rsidRPr="00DB4425">
        <w:rPr>
          <w:rFonts w:ascii="Times New Roman" w:hAnsi="Times New Roman"/>
          <w:spacing w:val="-2"/>
          <w:szCs w:val="22"/>
        </w:rPr>
        <w:t xml:space="preserve"> end of </w:t>
      </w:r>
      <w:r w:rsidR="007C11BE">
        <w:rPr>
          <w:rFonts w:ascii="Times New Roman" w:hAnsi="Times New Roman"/>
          <w:spacing w:val="-2"/>
          <w:szCs w:val="22"/>
        </w:rPr>
        <w:t>December</w:t>
      </w:r>
      <w:r w:rsidRPr="00DB4425">
        <w:rPr>
          <w:rFonts w:ascii="Times New Roman" w:hAnsi="Times New Roman"/>
          <w:spacing w:val="-2"/>
          <w:szCs w:val="22"/>
        </w:rPr>
        <w:t xml:space="preserve"> 2022</w:t>
      </w:r>
      <w:r w:rsidR="00332518" w:rsidRPr="0037139E">
        <w:rPr>
          <w:rFonts w:ascii="Times New Roman" w:hAnsi="Times New Roman"/>
          <w:spacing w:val="-2"/>
          <w:szCs w:val="22"/>
        </w:rPr>
        <w:t>.</w:t>
      </w:r>
    </w:p>
    <w:p w:rsidR="00395649" w:rsidRDefault="00AD2E13" w:rsidP="00F648FF">
      <w:pPr>
        <w:suppressAutoHyphens/>
        <w:spacing w:before="120" w:after="120"/>
        <w:jc w:val="both"/>
      </w:pPr>
      <w:r w:rsidRPr="00AD2E13">
        <w:rPr>
          <w:rFonts w:ascii="Times New Roman" w:hAnsi="Times New Roman"/>
          <w:spacing w:val="-2"/>
          <w:szCs w:val="22"/>
        </w:rPr>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proofErr w:type="gramStart"/>
      <w:r w:rsidR="00822D7D">
        <w:rPr>
          <w:rFonts w:ascii="Times New Roman" w:hAnsi="Times New Roman"/>
          <w:spacing w:val="-2"/>
          <w:szCs w:val="22"/>
        </w:rPr>
        <w:t>are</w:t>
      </w:r>
      <w:r w:rsidRPr="00AD2E13">
        <w:rPr>
          <w:rFonts w:ascii="Times New Roman" w:hAnsi="Times New Roman"/>
          <w:spacing w:val="-2"/>
          <w:szCs w:val="22"/>
        </w:rPr>
        <w:t xml:space="preserve"> posted</w:t>
      </w:r>
      <w:proofErr w:type="gramEnd"/>
      <w:r w:rsidRPr="00AD2E13">
        <w:rPr>
          <w:rFonts w:ascii="Times New Roman" w:hAnsi="Times New Roman"/>
          <w:spacing w:val="-2"/>
          <w:szCs w:val="22"/>
        </w:rPr>
        <w:t xml:space="preserve">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hyperlink r:id="rId8" w:history="1">
        <w:r w:rsidR="00395649" w:rsidRPr="00EF4C9C">
          <w:rPr>
            <w:rStyle w:val="Hyperlink"/>
          </w:rPr>
          <w:t>https://ecec.m</w:t>
        </w:r>
        <w:r w:rsidR="00395649" w:rsidRPr="00EF4C9C">
          <w:rPr>
            <w:rStyle w:val="Hyperlink"/>
          </w:rPr>
          <w:t>p</w:t>
        </w:r>
        <w:r w:rsidR="00395649" w:rsidRPr="00EF4C9C">
          <w:rPr>
            <w:rStyle w:val="Hyperlink"/>
          </w:rPr>
          <w:t>n.gov.rs/</w:t>
        </w:r>
      </w:hyperlink>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332518" w:rsidRPr="00395649" w:rsidRDefault="00EC50B8" w:rsidP="00F648FF">
      <w:pPr>
        <w:suppressAutoHyphens/>
        <w:spacing w:before="120" w:after="120"/>
        <w:jc w:val="both"/>
        <w:rPr>
          <w:rFonts w:ascii="Times New Roman" w:hAnsi="Times New Roman"/>
          <w:spacing w:val="-2"/>
          <w:szCs w:val="22"/>
        </w:rPr>
      </w:pPr>
      <w:r w:rsidRPr="00395649">
        <w:rPr>
          <w:rFonts w:ascii="Times New Roman" w:hAnsi="Times New Roman"/>
          <w:spacing w:val="-2"/>
          <w:szCs w:val="22"/>
        </w:rPr>
        <w:t xml:space="preserve">The </w:t>
      </w:r>
      <w:r w:rsidR="00395649" w:rsidRPr="00395649">
        <w:rPr>
          <w:rFonts w:ascii="Times New Roman" w:hAnsi="Times New Roman"/>
          <w:spacing w:val="-2"/>
          <w:szCs w:val="22"/>
        </w:rPr>
        <w:t>qualification</w:t>
      </w:r>
      <w:r w:rsidRPr="00395649">
        <w:rPr>
          <w:rFonts w:ascii="Times New Roman" w:hAnsi="Times New Roman"/>
          <w:spacing w:val="-2"/>
          <w:szCs w:val="22"/>
        </w:rPr>
        <w:t xml:space="preserve"> criteria are: </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 xml:space="preserve">Firm must have proven experience in previous similar assignments in past 5 years. </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 xml:space="preserve">Firm shall have minimum </w:t>
      </w:r>
      <w:proofErr w:type="gramStart"/>
      <w:r w:rsidRPr="00395649">
        <w:rPr>
          <w:rFonts w:ascii="Times New Roman" w:hAnsi="Times New Roman"/>
          <w:spacing w:val="-2"/>
          <w:szCs w:val="22"/>
        </w:rPr>
        <w:t>2</w:t>
      </w:r>
      <w:proofErr w:type="gramEnd"/>
      <w:r w:rsidRPr="00395649">
        <w:rPr>
          <w:rFonts w:ascii="Times New Roman" w:hAnsi="Times New Roman"/>
          <w:spacing w:val="-2"/>
          <w:szCs w:val="22"/>
        </w:rPr>
        <w:t xml:space="preserve"> environmental experts and 1 social expert with following qualifications:</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University degree in environmental sciences, engineering, natural or social sciences;</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Minimum 4 years of experience in environmental aspects of demand-driven development projects;</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Experience in preparation of Environmental Assessment /Management Plans for the construction projects</w:t>
      </w:r>
      <w:proofErr w:type="gramStart"/>
      <w:r w:rsidRPr="00395649">
        <w:rPr>
          <w:rFonts w:ascii="Times New Roman" w:hAnsi="Times New Roman"/>
          <w:spacing w:val="-2"/>
          <w:szCs w:val="22"/>
        </w:rPr>
        <w:t>;</w:t>
      </w:r>
      <w:proofErr w:type="gramEnd"/>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Strong experience in environmental problems prioritization, tools and methodology development, project management experience at local and regional level</w:t>
      </w:r>
      <w:proofErr w:type="gramStart"/>
      <w:r w:rsidRPr="00395649">
        <w:rPr>
          <w:rFonts w:ascii="Times New Roman" w:hAnsi="Times New Roman"/>
          <w:spacing w:val="-2"/>
          <w:szCs w:val="22"/>
        </w:rPr>
        <w:t>;</w:t>
      </w:r>
      <w:proofErr w:type="gramEnd"/>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Exposure to the development work with the international organizations is an advantage</w:t>
      </w:r>
      <w:proofErr w:type="gramStart"/>
      <w:r w:rsidRPr="00395649">
        <w:rPr>
          <w:rFonts w:ascii="Times New Roman" w:hAnsi="Times New Roman"/>
          <w:spacing w:val="-2"/>
          <w:szCs w:val="22"/>
        </w:rPr>
        <w:t>;</w:t>
      </w:r>
      <w:proofErr w:type="gramEnd"/>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Good interpersonal and communication skills;</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Fluent knowledge of the English language (speaking, writing and reading);</w:t>
      </w:r>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t>•</w:t>
      </w:r>
      <w:r w:rsidRPr="00395649">
        <w:rPr>
          <w:rFonts w:ascii="Times New Roman" w:hAnsi="Times New Roman"/>
          <w:spacing w:val="-2"/>
          <w:szCs w:val="22"/>
        </w:rPr>
        <w:tab/>
        <w:t>Demonstrated ability to work in a team</w:t>
      </w:r>
      <w:proofErr w:type="gramStart"/>
      <w:r w:rsidRPr="00395649">
        <w:rPr>
          <w:rFonts w:ascii="Times New Roman" w:hAnsi="Times New Roman"/>
          <w:spacing w:val="-2"/>
          <w:szCs w:val="22"/>
        </w:rPr>
        <w:t>;</w:t>
      </w:r>
      <w:proofErr w:type="gramEnd"/>
    </w:p>
    <w:p w:rsidR="00395649" w:rsidRPr="00395649" w:rsidRDefault="00395649" w:rsidP="00395649">
      <w:pPr>
        <w:suppressAutoHyphens/>
        <w:spacing w:before="120" w:after="120"/>
        <w:jc w:val="both"/>
        <w:rPr>
          <w:rFonts w:ascii="Times New Roman" w:hAnsi="Times New Roman"/>
          <w:spacing w:val="-2"/>
          <w:szCs w:val="22"/>
        </w:rPr>
      </w:pPr>
      <w:r w:rsidRPr="00395649">
        <w:rPr>
          <w:rFonts w:ascii="Times New Roman" w:hAnsi="Times New Roman"/>
          <w:spacing w:val="-2"/>
          <w:szCs w:val="22"/>
        </w:rPr>
        <w:lastRenderedPageBreak/>
        <w:t>•</w:t>
      </w:r>
      <w:r w:rsidRPr="00395649">
        <w:rPr>
          <w:rFonts w:ascii="Times New Roman" w:hAnsi="Times New Roman"/>
          <w:spacing w:val="-2"/>
          <w:szCs w:val="22"/>
        </w:rPr>
        <w:tab/>
        <w:t>Computer literacy (MS Office);</w:t>
      </w:r>
    </w:p>
    <w:p w:rsidR="00AD2E13" w:rsidRPr="007C11BE" w:rsidRDefault="00395649" w:rsidP="00395649">
      <w:pPr>
        <w:suppressAutoHyphens/>
        <w:spacing w:before="120" w:after="120"/>
        <w:jc w:val="both"/>
        <w:rPr>
          <w:rFonts w:ascii="Times New Roman" w:hAnsi="Times New Roman"/>
          <w:spacing w:val="-2"/>
          <w:szCs w:val="22"/>
          <w:highlight w:val="yellow"/>
        </w:rPr>
      </w:pPr>
      <w:r w:rsidRPr="00395649">
        <w:rPr>
          <w:rFonts w:ascii="Times New Roman" w:hAnsi="Times New Roman"/>
          <w:spacing w:val="-2"/>
          <w:szCs w:val="22"/>
        </w:rPr>
        <w:t>•</w:t>
      </w:r>
      <w:r w:rsidRPr="00395649">
        <w:rPr>
          <w:rFonts w:ascii="Times New Roman" w:hAnsi="Times New Roman"/>
          <w:spacing w:val="-2"/>
          <w:szCs w:val="22"/>
        </w:rPr>
        <w:tab/>
        <w:t xml:space="preserve">Advantage </w:t>
      </w:r>
      <w:proofErr w:type="gramStart"/>
      <w:r w:rsidRPr="00395649">
        <w:rPr>
          <w:rFonts w:ascii="Times New Roman" w:hAnsi="Times New Roman"/>
          <w:spacing w:val="-2"/>
          <w:szCs w:val="22"/>
        </w:rPr>
        <w:t>will be given</w:t>
      </w:r>
      <w:proofErr w:type="gramEnd"/>
      <w:r w:rsidRPr="00395649">
        <w:rPr>
          <w:rFonts w:ascii="Times New Roman" w:hAnsi="Times New Roman"/>
          <w:spacing w:val="-2"/>
          <w:szCs w:val="22"/>
        </w:rPr>
        <w:t xml:space="preserve"> to the key staff i.e. experts with the knowledge of the World Bank policies and procedures.</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bookmarkStart w:id="0" w:name="_GoBack"/>
            <w:bookmarkEnd w:id="0"/>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BB61C2" w:rsidRDefault="00423B83" w:rsidP="007E72D3">
            <w:pPr>
              <w:pStyle w:val="ListParagraph"/>
              <w:ind w:left="0"/>
              <w:jc w:val="left"/>
              <w:rPr>
                <w:rFonts w:ascii="Times New Roman" w:hAnsi="Times New Roman" w:cs="Times New Roman"/>
                <w:highlight w:val="yellow"/>
              </w:rPr>
            </w:pPr>
            <w:r w:rsidRPr="00423B83">
              <w:rPr>
                <w:rFonts w:ascii="Times New Roman" w:hAnsi="Times New Roman" w:cs="Times New Roman"/>
              </w:rPr>
              <w:t>Core business and general qualifications of the consultant</w:t>
            </w:r>
          </w:p>
        </w:tc>
        <w:tc>
          <w:tcPr>
            <w:tcW w:w="1350" w:type="dxa"/>
            <w:vAlign w:val="center"/>
          </w:tcPr>
          <w:p w:rsidR="00332518" w:rsidRPr="00095FB7" w:rsidRDefault="00423B83" w:rsidP="007E72D3">
            <w:pPr>
              <w:jc w:val="center"/>
              <w:rPr>
                <w:rFonts w:ascii="Times New Roman" w:hAnsi="Times New Roman" w:cs="Times New Roman"/>
                <w:b/>
              </w:rPr>
            </w:pPr>
            <w:r w:rsidRPr="00095FB7">
              <w:rPr>
                <w:rFonts w:ascii="Times New Roman" w:hAnsi="Times New Roman" w:cs="Times New Roman"/>
                <w:b/>
              </w:rPr>
              <w:t>3</w:t>
            </w:r>
            <w:r w:rsidR="00332518" w:rsidRPr="00095FB7">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BB61C2" w:rsidRDefault="00423B83" w:rsidP="007E72D3">
            <w:pPr>
              <w:pStyle w:val="ListParagraph"/>
              <w:ind w:left="0"/>
              <w:rPr>
                <w:rFonts w:ascii="Times New Roman" w:hAnsi="Times New Roman" w:cs="Times New Roman"/>
                <w:b/>
                <w:highlight w:val="yellow"/>
                <w:u w:val="single"/>
              </w:rPr>
            </w:pPr>
            <w:r w:rsidRPr="00423B83">
              <w:rPr>
                <w:rFonts w:ascii="Times New Roman" w:hAnsi="Times New Roman" w:cs="Times New Roman"/>
              </w:rPr>
              <w:t>Qualifications and specific experience of the consultant related to the assignment</w:t>
            </w:r>
          </w:p>
        </w:tc>
        <w:tc>
          <w:tcPr>
            <w:tcW w:w="1350" w:type="dxa"/>
            <w:vAlign w:val="center"/>
          </w:tcPr>
          <w:p w:rsidR="00332518" w:rsidRPr="00095FB7" w:rsidRDefault="00423B83" w:rsidP="007E72D3">
            <w:pPr>
              <w:pStyle w:val="ListParagraph"/>
              <w:ind w:left="0"/>
              <w:jc w:val="center"/>
              <w:rPr>
                <w:rFonts w:ascii="Times New Roman" w:hAnsi="Times New Roman" w:cs="Times New Roman"/>
                <w:b/>
              </w:rPr>
            </w:pPr>
            <w:r w:rsidRPr="00095FB7">
              <w:rPr>
                <w:rFonts w:ascii="Times New Roman" w:hAnsi="Times New Roman" w:cs="Times New Roman"/>
                <w:b/>
              </w:rPr>
              <w:t>5</w:t>
            </w:r>
            <w:r w:rsidR="00F873D5" w:rsidRPr="00095FB7">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BB61C2" w:rsidRDefault="00423B83" w:rsidP="00BB61C2">
            <w:pPr>
              <w:pStyle w:val="ListParagraph"/>
              <w:ind w:left="0"/>
              <w:rPr>
                <w:rFonts w:ascii="Times New Roman" w:hAnsi="Times New Roman" w:cs="Times New Roman"/>
                <w:highlight w:val="yellow"/>
              </w:rPr>
            </w:pPr>
            <w:r w:rsidRPr="00423B83">
              <w:rPr>
                <w:rFonts w:ascii="Times New Roman" w:hAnsi="Times New Roman" w:cs="Times New Roman"/>
              </w:rPr>
              <w:t>Organization of the firm, general qualifications and availability of key staff</w:t>
            </w:r>
          </w:p>
        </w:tc>
        <w:tc>
          <w:tcPr>
            <w:tcW w:w="1350" w:type="dxa"/>
            <w:vAlign w:val="center"/>
          </w:tcPr>
          <w:p w:rsidR="00332518" w:rsidRPr="00095FB7" w:rsidRDefault="00F873D5" w:rsidP="007E72D3">
            <w:pPr>
              <w:pStyle w:val="ListParagraph"/>
              <w:ind w:left="0"/>
              <w:jc w:val="center"/>
              <w:rPr>
                <w:rFonts w:ascii="Times New Roman" w:hAnsi="Times New Roman" w:cs="Times New Roman"/>
                <w:b/>
              </w:rPr>
            </w:pPr>
            <w:r w:rsidRPr="00095FB7">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95649" w:rsidRDefault="00930962" w:rsidP="00E25788">
      <w:pPr>
        <w:suppressAutoHyphens/>
        <w:jc w:val="both"/>
        <w:rPr>
          <w:rFonts w:ascii="Times New Roman" w:hAnsi="Times New Roman"/>
          <w:color w:val="000000"/>
          <w:spacing w:val="-2"/>
          <w:szCs w:val="22"/>
          <w:lang w:val="pl-PL"/>
        </w:rPr>
      </w:pPr>
      <w:r w:rsidRPr="00395649">
        <w:rPr>
          <w:rFonts w:ascii="Times New Roman" w:hAnsi="Times New Roman"/>
          <w:color w:val="000000"/>
          <w:spacing w:val="-2"/>
          <w:szCs w:val="22"/>
          <w:lang w:val="pl-PL"/>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95649">
        <w:rPr>
          <w:rFonts w:ascii="Times New Roman" w:hAnsi="Times New Roman"/>
          <w:color w:val="000000"/>
          <w:spacing w:val="-2"/>
          <w:szCs w:val="22"/>
          <w:lang w:val="pl-PL"/>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address below</w:t>
      </w:r>
      <w:r w:rsidRPr="00217E25">
        <w:rPr>
          <w:rFonts w:ascii="Times New Roman" w:hAnsi="Times New Roman"/>
          <w:spacing w:val="-2"/>
          <w:sz w:val="24"/>
          <w:szCs w:val="24"/>
        </w:rPr>
        <w:t xml:space="preserve">, by </w:t>
      </w:r>
      <w:r w:rsidR="00395649" w:rsidRPr="00395649">
        <w:rPr>
          <w:rFonts w:ascii="Times New Roman" w:hAnsi="Times New Roman"/>
          <w:b/>
          <w:spacing w:val="-2"/>
          <w:sz w:val="24"/>
          <w:szCs w:val="24"/>
        </w:rPr>
        <w:t>November 20</w:t>
      </w:r>
      <w:r>
        <w:rPr>
          <w:rFonts w:ascii="Times New Roman" w:hAnsi="Times New Roman"/>
          <w:b/>
          <w:spacing w:val="-2"/>
          <w:sz w:val="24"/>
          <w:szCs w:val="24"/>
        </w:rPr>
        <w:t>, 2019</w:t>
      </w:r>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proofErr w:type="gramStart"/>
      <w:r w:rsidRPr="00EC3EA0">
        <w:rPr>
          <w:rFonts w:ascii="Times New Roman" w:hAnsi="Times New Roman"/>
          <w:spacing w:val="-2"/>
          <w:sz w:val="24"/>
          <w:szCs w:val="24"/>
        </w:rPr>
        <w:t>local</w:t>
      </w:r>
      <w:proofErr w:type="gramEnd"/>
      <w:r w:rsidRPr="00EC3EA0">
        <w:rPr>
          <w:rFonts w:ascii="Times New Roman" w:hAnsi="Times New Roman"/>
          <w:spacing w:val="-2"/>
          <w:sz w:val="24"/>
          <w:szCs w:val="24"/>
        </w:rPr>
        <w:t xml:space="preserve">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Default="003F27EA" w:rsidP="003F27EA">
      <w:pPr>
        <w:suppressAutoHyphens/>
        <w:rPr>
          <w:rFonts w:ascii="Times New Roman" w:hAnsi="Times New Roman"/>
          <w:spacing w:val="-2"/>
          <w:sz w:val="24"/>
        </w:rPr>
      </w:pP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rsidR="003F27EA" w:rsidRPr="00E40280" w:rsidRDefault="00C15DFF" w:rsidP="00323ED9">
            <w:pPr>
              <w:spacing w:line="360" w:lineRule="atLeast"/>
              <w:rPr>
                <w:rFonts w:ascii="Times New Roman" w:hAnsi="Times New Roman"/>
                <w:spacing w:val="-2"/>
                <w:sz w:val="24"/>
                <w:szCs w:val="24"/>
              </w:rPr>
            </w:pPr>
            <w:hyperlink r:id="rId9" w:history="1">
              <w:r w:rsidR="003F27EA" w:rsidRPr="00E40280">
                <w:rPr>
                  <w:rStyle w:val="Hyperlink"/>
                  <w:rFonts w:ascii="Times New Roman" w:hAnsi="Times New Roman"/>
                  <w:sz w:val="24"/>
                  <w:szCs w:val="24"/>
                </w:rPr>
                <w:t>ljiljana.krejovic@mfin.gov.rs</w:t>
              </w:r>
            </w:hyperlink>
          </w:p>
          <w:p w:rsidR="003F27EA" w:rsidRPr="00E40280" w:rsidRDefault="003F27EA" w:rsidP="00323ED9">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C15DFF" w:rsidP="00323ED9">
            <w:pPr>
              <w:spacing w:line="360" w:lineRule="atLeast"/>
              <w:rPr>
                <w:rFonts w:ascii="Times New Roman" w:hAnsi="Times New Roman"/>
                <w:spacing w:val="-2"/>
                <w:sz w:val="24"/>
                <w:szCs w:val="24"/>
              </w:rPr>
            </w:pPr>
            <w:hyperlink r:id="rId10"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C15DFF" w:rsidP="00323ED9">
            <w:pPr>
              <w:spacing w:line="360" w:lineRule="atLeast"/>
            </w:pPr>
            <w:hyperlink r:id="rId11"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p>
          <w:p w:rsidR="003F27EA" w:rsidRDefault="003F27EA" w:rsidP="00323ED9">
            <w:pPr>
              <w:spacing w:line="360" w:lineRule="atLeast"/>
            </w:pPr>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2"/>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FF" w:rsidRDefault="00C15DFF">
      <w:r>
        <w:separator/>
      </w:r>
    </w:p>
  </w:endnote>
  <w:endnote w:type="continuationSeparator" w:id="0">
    <w:p w:rsidR="00C15DFF" w:rsidRDefault="00C15DFF">
      <w:r>
        <w:rPr>
          <w:sz w:val="24"/>
        </w:rPr>
        <w:t xml:space="preserve"> </w:t>
      </w:r>
    </w:p>
  </w:endnote>
  <w:endnote w:type="continuationNotice" w:id="1">
    <w:p w:rsidR="00C15DFF" w:rsidRDefault="00C15DF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FF" w:rsidRDefault="00C15DFF">
      <w:r>
        <w:rPr>
          <w:sz w:val="24"/>
        </w:rPr>
        <w:separator/>
      </w:r>
    </w:p>
  </w:footnote>
  <w:footnote w:type="continuationSeparator" w:id="0">
    <w:p w:rsidR="00C15DFF" w:rsidRDefault="00C1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50CBE"/>
    <w:rsid w:val="00095FB7"/>
    <w:rsid w:val="000A4184"/>
    <w:rsid w:val="000C4041"/>
    <w:rsid w:val="00103B46"/>
    <w:rsid w:val="00131C96"/>
    <w:rsid w:val="001836DB"/>
    <w:rsid w:val="00186F7D"/>
    <w:rsid w:val="001B0D84"/>
    <w:rsid w:val="001C2BCD"/>
    <w:rsid w:val="001D70EB"/>
    <w:rsid w:val="0025144D"/>
    <w:rsid w:val="00270FD2"/>
    <w:rsid w:val="002727A9"/>
    <w:rsid w:val="002B522F"/>
    <w:rsid w:val="002E530F"/>
    <w:rsid w:val="00332518"/>
    <w:rsid w:val="00357959"/>
    <w:rsid w:val="0037139E"/>
    <w:rsid w:val="00395649"/>
    <w:rsid w:val="003C2D23"/>
    <w:rsid w:val="003D09DC"/>
    <w:rsid w:val="003F27EA"/>
    <w:rsid w:val="004009C6"/>
    <w:rsid w:val="0040538F"/>
    <w:rsid w:val="00423B83"/>
    <w:rsid w:val="0043084B"/>
    <w:rsid w:val="00430FB4"/>
    <w:rsid w:val="004560B6"/>
    <w:rsid w:val="004B37D4"/>
    <w:rsid w:val="004E721D"/>
    <w:rsid w:val="004F0EE9"/>
    <w:rsid w:val="0054445F"/>
    <w:rsid w:val="005D5E33"/>
    <w:rsid w:val="00696F98"/>
    <w:rsid w:val="006D6898"/>
    <w:rsid w:val="006F3706"/>
    <w:rsid w:val="00732F3E"/>
    <w:rsid w:val="007629BB"/>
    <w:rsid w:val="007B4CE4"/>
    <w:rsid w:val="007C11BE"/>
    <w:rsid w:val="007D59F6"/>
    <w:rsid w:val="007E72D3"/>
    <w:rsid w:val="00811525"/>
    <w:rsid w:val="00822D7D"/>
    <w:rsid w:val="00875FFD"/>
    <w:rsid w:val="0087623A"/>
    <w:rsid w:val="008929AC"/>
    <w:rsid w:val="00892C92"/>
    <w:rsid w:val="0089380F"/>
    <w:rsid w:val="008A4AA7"/>
    <w:rsid w:val="008D5364"/>
    <w:rsid w:val="00916E24"/>
    <w:rsid w:val="00930962"/>
    <w:rsid w:val="00930D65"/>
    <w:rsid w:val="0093490C"/>
    <w:rsid w:val="009830E4"/>
    <w:rsid w:val="009A7BEB"/>
    <w:rsid w:val="009B04A5"/>
    <w:rsid w:val="009E3905"/>
    <w:rsid w:val="009E4A48"/>
    <w:rsid w:val="00A05A45"/>
    <w:rsid w:val="00A05DE2"/>
    <w:rsid w:val="00A313BB"/>
    <w:rsid w:val="00A62834"/>
    <w:rsid w:val="00A94A9A"/>
    <w:rsid w:val="00AD2E13"/>
    <w:rsid w:val="00B21FC4"/>
    <w:rsid w:val="00B3630A"/>
    <w:rsid w:val="00B74B11"/>
    <w:rsid w:val="00B74CEC"/>
    <w:rsid w:val="00BA4299"/>
    <w:rsid w:val="00BB61C2"/>
    <w:rsid w:val="00BC1BB9"/>
    <w:rsid w:val="00BD6CBC"/>
    <w:rsid w:val="00C05D26"/>
    <w:rsid w:val="00C155E6"/>
    <w:rsid w:val="00C15DFF"/>
    <w:rsid w:val="00CE0D2A"/>
    <w:rsid w:val="00D300DD"/>
    <w:rsid w:val="00D83BCE"/>
    <w:rsid w:val="00DA15DD"/>
    <w:rsid w:val="00DB4425"/>
    <w:rsid w:val="00DC634A"/>
    <w:rsid w:val="00DE62DC"/>
    <w:rsid w:val="00DF029B"/>
    <w:rsid w:val="00DF6A28"/>
    <w:rsid w:val="00E07E32"/>
    <w:rsid w:val="00E25788"/>
    <w:rsid w:val="00E3137E"/>
    <w:rsid w:val="00E3145A"/>
    <w:rsid w:val="00E706D4"/>
    <w:rsid w:val="00E836FA"/>
    <w:rsid w:val="00E86FEA"/>
    <w:rsid w:val="00EB5460"/>
    <w:rsid w:val="00EC50B8"/>
    <w:rsid w:val="00F14FA3"/>
    <w:rsid w:val="00F1557F"/>
    <w:rsid w:val="00F17486"/>
    <w:rsid w:val="00F40313"/>
    <w:rsid w:val="00F408B3"/>
    <w:rsid w:val="00F53B7E"/>
    <w:rsid w:val="00F54AF6"/>
    <w:rsid w:val="00F648FF"/>
    <w:rsid w:val="00F6757C"/>
    <w:rsid w:val="00F873D5"/>
    <w:rsid w:val="00FA6F85"/>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B8D1A"/>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basedOn w:val="Normal"/>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mp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mp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A65F-45AC-4745-B6C2-02A12370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6194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Krejović</cp:lastModifiedBy>
  <cp:revision>8</cp:revision>
  <cp:lastPrinted>2017-05-25T07:25:00Z</cp:lastPrinted>
  <dcterms:created xsi:type="dcterms:W3CDTF">2019-11-04T07:34:00Z</dcterms:created>
  <dcterms:modified xsi:type="dcterms:W3CDTF">2019-11-08T11:50:00Z</dcterms:modified>
</cp:coreProperties>
</file>