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C01EE" w14:textId="77777777" w:rsidR="00E82BB9" w:rsidRPr="00DC6933" w:rsidRDefault="00E82BB9" w:rsidP="00E82BB9">
      <w:pPr>
        <w:autoSpaceDE w:val="0"/>
        <w:autoSpaceDN w:val="0"/>
        <w:adjustRightInd w:val="0"/>
        <w:spacing w:line="240" w:lineRule="atLeast"/>
        <w:rPr>
          <w:b/>
          <w:bCs/>
          <w:lang w:val="sr-Latn-RS"/>
        </w:rPr>
      </w:pPr>
      <w:bookmarkStart w:id="0" w:name="_Hlk152332389"/>
    </w:p>
    <w:p w14:paraId="2902C3DB" w14:textId="77777777" w:rsidR="00E82BB9" w:rsidRPr="00DC6933" w:rsidRDefault="00E82BB9" w:rsidP="00E82BB9">
      <w:pPr>
        <w:autoSpaceDE w:val="0"/>
        <w:autoSpaceDN w:val="0"/>
        <w:adjustRightInd w:val="0"/>
        <w:spacing w:line="240" w:lineRule="atLeast"/>
        <w:jc w:val="center"/>
        <w:rPr>
          <w:b/>
        </w:rPr>
      </w:pPr>
      <w:r w:rsidRPr="00DC6933">
        <w:rPr>
          <w:b/>
        </w:rPr>
        <w:t>TERMS OF REFERENCE</w:t>
      </w:r>
    </w:p>
    <w:p w14:paraId="6A206B78" w14:textId="77777777" w:rsidR="00E82BB9" w:rsidRPr="00DC6933" w:rsidRDefault="00E82BB9" w:rsidP="00E82BB9">
      <w:pPr>
        <w:autoSpaceDE w:val="0"/>
        <w:autoSpaceDN w:val="0"/>
        <w:adjustRightInd w:val="0"/>
        <w:spacing w:line="240" w:lineRule="atLeast"/>
        <w:jc w:val="center"/>
        <w:rPr>
          <w:b/>
        </w:rPr>
      </w:pPr>
    </w:p>
    <w:p w14:paraId="78C7BC4C" w14:textId="6414F494" w:rsidR="00E82BB9" w:rsidRPr="00021B19" w:rsidRDefault="00E82BB9" w:rsidP="00E82BB9">
      <w:pPr>
        <w:jc w:val="center"/>
        <w:rPr>
          <w:b/>
          <w:bCs/>
          <w:lang w:val="sr-Latn-RS"/>
        </w:rPr>
      </w:pPr>
      <w:r w:rsidRPr="00DC6933">
        <w:rPr>
          <w:b/>
          <w:bCs/>
          <w:lang w:val="sr-Cyrl-RS"/>
        </w:rPr>
        <w:t>CONSULTANT FOR THE DESK ANALYSIS OF THE PI SELF-EVALUATION REPORTS FOR THE YEAR 202</w:t>
      </w:r>
      <w:r w:rsidRPr="00DC6933">
        <w:rPr>
          <w:b/>
          <w:bCs/>
          <w:lang w:val="sr-Latn-RS"/>
        </w:rPr>
        <w:t>2</w:t>
      </w:r>
      <w:r w:rsidRPr="00DC6933">
        <w:rPr>
          <w:b/>
          <w:bCs/>
          <w:lang w:val="sr-Cyrl-RS"/>
        </w:rPr>
        <w:t>/2</w:t>
      </w:r>
      <w:r w:rsidRPr="00DC6933">
        <w:rPr>
          <w:b/>
          <w:bCs/>
          <w:lang w:val="sr-Latn-RS"/>
        </w:rPr>
        <w:t>3</w:t>
      </w:r>
      <w:r w:rsidR="00021B19">
        <w:rPr>
          <w:b/>
          <w:bCs/>
          <w:lang w:val="sr-Latn-RS"/>
        </w:rPr>
        <w:t xml:space="preserve"> (the second group of PIs)</w:t>
      </w:r>
    </w:p>
    <w:p w14:paraId="218FAA6B" w14:textId="77777777" w:rsidR="00E82BB9" w:rsidRPr="00DC6933" w:rsidRDefault="00E82BB9" w:rsidP="00E82BB9">
      <w:pPr>
        <w:jc w:val="center"/>
        <w:rPr>
          <w:b/>
          <w:bCs/>
          <w:lang w:val="sr-Latn-RS"/>
        </w:rPr>
      </w:pPr>
      <w:r w:rsidRPr="00DC6933">
        <w:rPr>
          <w:b/>
          <w:bCs/>
          <w:lang w:val="sr-Latn-RS"/>
        </w:rPr>
        <w:t>(PART-TIME POSITION)</w:t>
      </w:r>
    </w:p>
    <w:p w14:paraId="1F89999F" w14:textId="77777777" w:rsidR="00E82BB9" w:rsidRDefault="00E82BB9" w:rsidP="00E82BB9"/>
    <w:p w14:paraId="7CD73EED" w14:textId="77777777" w:rsidR="00E82BB9" w:rsidRDefault="00E82BB9" w:rsidP="00E82BB9"/>
    <w:p w14:paraId="689605F4" w14:textId="77777777" w:rsidR="00E82BB9" w:rsidRPr="00DC6933" w:rsidRDefault="00E82BB9" w:rsidP="00E82BB9"/>
    <w:p w14:paraId="5E6F4538" w14:textId="77777777" w:rsidR="00E82BB9" w:rsidRPr="00DC6933" w:rsidRDefault="00E82BB9" w:rsidP="00E82BB9">
      <w:pPr>
        <w:pStyle w:val="ListParagraph"/>
        <w:numPr>
          <w:ilvl w:val="0"/>
          <w:numId w:val="2"/>
        </w:numPr>
        <w:tabs>
          <w:tab w:val="left" w:pos="993"/>
        </w:tabs>
        <w:ind w:left="0" w:firstLine="0"/>
        <w:rPr>
          <w:rFonts w:eastAsia="MS Mincho"/>
          <w:b/>
          <w:bCs/>
        </w:rPr>
      </w:pPr>
      <w:r w:rsidRPr="00DC6933">
        <w:rPr>
          <w:rFonts w:eastAsia="MS Mincho"/>
          <w:b/>
          <w:bCs/>
        </w:rPr>
        <w:t>Background and objective of the project</w:t>
      </w:r>
    </w:p>
    <w:p w14:paraId="6DBF5E8A" w14:textId="77777777" w:rsidR="00E82BB9" w:rsidRPr="00DC6933" w:rsidRDefault="00E82BB9" w:rsidP="00E82BB9">
      <w:pPr>
        <w:rPr>
          <w:rFonts w:eastAsia="MS Mincho"/>
          <w:b/>
        </w:rPr>
      </w:pPr>
    </w:p>
    <w:p w14:paraId="619AD53C" w14:textId="77777777" w:rsidR="00E82BB9" w:rsidRPr="00DC6933" w:rsidRDefault="00E82BB9" w:rsidP="00E82BB9">
      <w:pPr>
        <w:rPr>
          <w:rFonts w:eastAsia="MS Mincho"/>
          <w:b/>
        </w:rPr>
      </w:pPr>
      <w:r w:rsidRPr="00DC6933">
        <w:rPr>
          <w:rFonts w:eastAsia="MS Mincho"/>
          <w:b/>
        </w:rPr>
        <w:t>Background Information</w:t>
      </w:r>
    </w:p>
    <w:p w14:paraId="0BF33771" w14:textId="77777777" w:rsidR="00E82BB9" w:rsidRPr="00DC6933" w:rsidRDefault="00E82BB9" w:rsidP="00E82BB9">
      <w:pPr>
        <w:rPr>
          <w:rFonts w:eastAsia="MS Mincho"/>
          <w:b/>
        </w:rPr>
      </w:pPr>
    </w:p>
    <w:p w14:paraId="0CA298F6" w14:textId="77777777" w:rsidR="00E82BB9" w:rsidRPr="00DC6933" w:rsidRDefault="00E82BB9" w:rsidP="00E82BB9">
      <w:r w:rsidRPr="00DC6933">
        <w:t>The Government of Serbia and the World Bank have identified skills development and inclusion of vulnerable groups as strategic priorities for their next phase of cooperation, based on a Systematic Country Diagnostic (SCD) and Country Partnership Framework between the two partners. In particular, the SCD highlights the importance of building human capital to increase labor productivity and enhance social inclusion through closing education enrollment gaps for low-income and Roma students starting in pre-primary. Quality Early Childhood Education and Care (ECEC) programs play a critical role in laying the necessary foundation for skills development early on and for narrowing the equity gap in education access and performance.</w:t>
      </w:r>
    </w:p>
    <w:p w14:paraId="54D2BD9A" w14:textId="77777777" w:rsidR="00E82BB9" w:rsidRPr="00DC6933" w:rsidRDefault="00E82BB9" w:rsidP="00E82BB9"/>
    <w:p w14:paraId="33C0AB8A" w14:textId="77777777" w:rsidR="00E82BB9" w:rsidRPr="00DC6933" w:rsidRDefault="00E82BB9" w:rsidP="00E82BB9">
      <w:r w:rsidRPr="00DC6933">
        <w:t>The Inclusive Early Childhood Education and Care project also directly contributes to the goals outlined in the Strategy for the Development of Education in Serbia until 2030 (SED 2030) and to its related Action Plan. This strategy defines mechanisms for assuring accessibility, quality, and equity in ECEC and sets clear priorities for: (i) increasing coverage; (ii) enhancing quality of the service delivery and outcomes; (iii) increasing efficiency; and (iv) attaining and maintaining relevance for the overall system. The project will directly support these priorities through its various components.</w:t>
      </w:r>
    </w:p>
    <w:p w14:paraId="0181AADF" w14:textId="77777777" w:rsidR="00E82BB9" w:rsidRPr="00DC6933" w:rsidRDefault="00E82BB9" w:rsidP="00E82BB9">
      <w:pPr>
        <w:autoSpaceDE w:val="0"/>
        <w:autoSpaceDN w:val="0"/>
        <w:adjustRightInd w:val="0"/>
        <w:rPr>
          <w:rFonts w:eastAsia="MS Mincho"/>
          <w:color w:val="000000"/>
        </w:rPr>
      </w:pPr>
    </w:p>
    <w:p w14:paraId="6684E967" w14:textId="77777777" w:rsidR="00E82BB9" w:rsidRPr="00DC6933" w:rsidRDefault="00E82BB9" w:rsidP="00E82BB9">
      <w:pPr>
        <w:rPr>
          <w:rFonts w:eastAsia="MS Mincho"/>
          <w:b/>
        </w:rPr>
      </w:pPr>
      <w:r w:rsidRPr="00DC6933">
        <w:rPr>
          <w:rFonts w:eastAsia="MS Mincho"/>
          <w:b/>
        </w:rPr>
        <w:t>Objective</w:t>
      </w:r>
    </w:p>
    <w:p w14:paraId="13FAFDB2" w14:textId="77777777" w:rsidR="00E82BB9" w:rsidRPr="00DC6933" w:rsidRDefault="00E82BB9" w:rsidP="00E82BB9"/>
    <w:p w14:paraId="1EE35C79" w14:textId="77777777" w:rsidR="00E82BB9" w:rsidRPr="00DC6933" w:rsidRDefault="00E82BB9" w:rsidP="00E82BB9">
      <w:r w:rsidRPr="00DC6933">
        <w:rPr>
          <w:color w:val="000000"/>
        </w:rPr>
        <w:t xml:space="preserve">The objective of the project is to improve access to high-quality </w:t>
      </w:r>
      <w:r w:rsidRPr="00DC6933">
        <w:t>early childhood education and care, with the focus on children from socially disadvantaged backgrounds,</w:t>
      </w:r>
      <w:r w:rsidRPr="00DC6933">
        <w:rPr>
          <w:color w:val="000000"/>
        </w:rPr>
        <w:t xml:space="preserve"> for all children aged 0 to 6.5 years. </w:t>
      </w:r>
      <w:r w:rsidRPr="00DC6933">
        <w:t>Activities for children aged 3 to 6.5 years focus on increasing access to inclusive quality preschools (i.e. child-centered and with age-appropriate learning opportunities) while also supporting their transition to the early grades of primary education. Activities for younger children, i.e. from birth onwards, focus on empowering parents and families to support children’s holistic development through the increased knowledge about the importance of early stimulation at home and access to the relevant services in the community.</w:t>
      </w:r>
    </w:p>
    <w:p w14:paraId="135F5A63" w14:textId="77777777" w:rsidR="00E82BB9" w:rsidRPr="00DC6933" w:rsidRDefault="00E82BB9" w:rsidP="00E82BB9"/>
    <w:p w14:paraId="4C1B45EE" w14:textId="45B93FA2" w:rsidR="00E82BB9" w:rsidRPr="00DC6933" w:rsidRDefault="00E82BB9" w:rsidP="00E82BB9">
      <w:r w:rsidRPr="00DC6933">
        <w:t>The Project is implemented by the Ministry of Education (</w:t>
      </w:r>
      <w:r w:rsidR="00021B19">
        <w:t>Client</w:t>
      </w:r>
      <w:r w:rsidRPr="00DC6933">
        <w:t>) with the support of the Project Management Unit (PMU).</w:t>
      </w:r>
    </w:p>
    <w:p w14:paraId="4D569D9E" w14:textId="77777777" w:rsidR="00E82BB9" w:rsidRPr="00DC6933" w:rsidRDefault="00E82BB9" w:rsidP="00E82BB9"/>
    <w:p w14:paraId="0EE98E4B" w14:textId="25678FCF" w:rsidR="00E82BB9" w:rsidRDefault="00E82BB9" w:rsidP="00E82BB9">
      <w:r w:rsidRPr="00DC6933">
        <w:t xml:space="preserve">The overall fiduciary responsibilities of the Project, procurement, financial management and disbursement issues, rest on the Central Fiduciary Unit (CFU). CFU is housed under the Ministry of Finance (MoF) as per the agreement reached between MoF and </w:t>
      </w:r>
      <w:r w:rsidR="00021B19">
        <w:t>the Client</w:t>
      </w:r>
      <w:r w:rsidRPr="00DC6933">
        <w:t>.</w:t>
      </w:r>
    </w:p>
    <w:p w14:paraId="31048932" w14:textId="77777777" w:rsidR="00E82BB9" w:rsidRDefault="00E82BB9" w:rsidP="00E82BB9"/>
    <w:p w14:paraId="1610149D" w14:textId="77777777" w:rsidR="00E82BB9" w:rsidRPr="00DC6933" w:rsidRDefault="00E82BB9" w:rsidP="00E82BB9">
      <w:pPr>
        <w:pStyle w:val="BodyText"/>
        <w:numPr>
          <w:ilvl w:val="0"/>
          <w:numId w:val="2"/>
        </w:numPr>
        <w:tabs>
          <w:tab w:val="left" w:pos="993"/>
        </w:tabs>
        <w:spacing w:after="0"/>
        <w:ind w:left="0" w:firstLine="0"/>
        <w:rPr>
          <w:b/>
        </w:rPr>
      </w:pPr>
      <w:r w:rsidRPr="00DC6933">
        <w:rPr>
          <w:b/>
        </w:rPr>
        <w:lastRenderedPageBreak/>
        <w:t>Objective and Scope of the Assignment Required</w:t>
      </w:r>
    </w:p>
    <w:p w14:paraId="01F38F86" w14:textId="77777777" w:rsidR="00E82BB9" w:rsidRPr="00DC6933" w:rsidRDefault="00E82BB9" w:rsidP="00E82BB9">
      <w:pPr>
        <w:rPr>
          <w:b/>
          <w:spacing w:val="-3"/>
        </w:rPr>
      </w:pPr>
    </w:p>
    <w:p w14:paraId="77D5BBE7" w14:textId="77777777" w:rsidR="00E82BB9" w:rsidRPr="00DC6933" w:rsidRDefault="00E82BB9" w:rsidP="00E82BB9">
      <w:pPr>
        <w:pStyle w:val="Default"/>
        <w:jc w:val="both"/>
        <w:rPr>
          <w:color w:val="auto"/>
          <w:lang w:val="sr-Latn-RS"/>
        </w:rPr>
      </w:pPr>
      <w:r w:rsidRPr="00DC6933">
        <w:rPr>
          <w:color w:val="auto"/>
          <w:lang w:val="sr-Latn-RS"/>
        </w:rPr>
        <w:t xml:space="preserve">Sub-Component 2.3.b of the Inclusive Early Childhood Education and Care Project deals with planning and implementing activities that add to the improvement of the preschool institutions (PIs) quality evaluation system as a part of the new curriculum implementation support. Activities in this area should contribute to the evaluation, serving a function of ”quality building”, supporting continual efforts </w:t>
      </w:r>
      <w:r>
        <w:rPr>
          <w:color w:val="auto"/>
          <w:lang w:val="sr-Latn-RS"/>
        </w:rPr>
        <w:t>PI</w:t>
      </w:r>
      <w:r w:rsidRPr="00DC6933">
        <w:rPr>
          <w:color w:val="auto"/>
          <w:lang w:val="sr-Latn-RS"/>
        </w:rPr>
        <w:t>t in the raising the quality of preschool education. The objective is that the information related to structural and process quality that are collected through different monitoring and evaluation instruments positively affects real-life curriculum and contribute to the improvement of preschool teachers’ professional development.</w:t>
      </w:r>
    </w:p>
    <w:p w14:paraId="5D967DE9" w14:textId="77777777" w:rsidR="00E82BB9" w:rsidRPr="00DC6933" w:rsidRDefault="00E82BB9" w:rsidP="00E82BB9">
      <w:pPr>
        <w:pStyle w:val="Default"/>
        <w:jc w:val="both"/>
        <w:rPr>
          <w:color w:val="FF0000"/>
        </w:rPr>
      </w:pPr>
    </w:p>
    <w:p w14:paraId="71694143" w14:textId="77777777" w:rsidR="00E82BB9" w:rsidRPr="00DC6933" w:rsidRDefault="00E82BB9" w:rsidP="00E82BB9">
      <w:pPr>
        <w:pStyle w:val="Default"/>
        <w:jc w:val="both"/>
        <w:rPr>
          <w:color w:val="auto"/>
        </w:rPr>
      </w:pPr>
      <w:r w:rsidRPr="00DC6933">
        <w:rPr>
          <w:color w:val="auto"/>
        </w:rPr>
        <w:t>Preschool practitioners (nursery teachers, preschool teachers, expert associates, preschool principles) are regarded as key participants in the preschool education system and therefore are expected to be the agents of change in preschool practices in line with the new PCF. In that sense, self-evaluation is perceived as a process that can help the practitioners fully understand the current practices, make decisions that would change and develop preschool practice in line with the new curricular concept, and assume responsibility for the quality of their work.</w:t>
      </w:r>
    </w:p>
    <w:p w14:paraId="6DF99D93" w14:textId="77777777" w:rsidR="00E82BB9" w:rsidRPr="00DC6933" w:rsidRDefault="00E82BB9" w:rsidP="00E82BB9">
      <w:pPr>
        <w:pStyle w:val="Default"/>
        <w:jc w:val="both"/>
        <w:rPr>
          <w:color w:val="auto"/>
        </w:rPr>
      </w:pPr>
    </w:p>
    <w:p w14:paraId="1C1F0285" w14:textId="77777777" w:rsidR="00E82BB9" w:rsidRDefault="00E82BB9" w:rsidP="00E82BB9">
      <w:pPr>
        <w:pStyle w:val="Default"/>
        <w:jc w:val="both"/>
        <w:rPr>
          <w:lang w:val="sr-Latn-RS"/>
        </w:rPr>
      </w:pPr>
      <w:r w:rsidRPr="00DC6933">
        <w:rPr>
          <w:color w:val="auto"/>
        </w:rPr>
        <w:t>In order to improve the self-evaluation of practice in PIs, an array of activities have been implemented under the ECEC Project.</w:t>
      </w:r>
      <w:r w:rsidRPr="00DC6933">
        <w:rPr>
          <w:rStyle w:val="FootnoteReference"/>
          <w:color w:val="auto"/>
        </w:rPr>
        <w:footnoteReference w:id="1"/>
      </w:r>
      <w:r>
        <w:rPr>
          <w:color w:val="auto"/>
        </w:rPr>
        <w:t xml:space="preserve"> </w:t>
      </w:r>
      <w:r w:rsidRPr="00AE1167">
        <w:rPr>
          <w:color w:val="auto"/>
        </w:rPr>
        <w:t xml:space="preserve">In </w:t>
      </w:r>
      <w:r w:rsidRPr="00AE1167">
        <w:rPr>
          <w:color w:val="auto"/>
          <w:lang w:val="sr-Cyrl-RS"/>
        </w:rPr>
        <w:t>2022</w:t>
      </w:r>
      <w:r>
        <w:rPr>
          <w:lang w:val="sr-Cyrl-RS"/>
        </w:rPr>
        <w:t>/23</w:t>
      </w:r>
      <w:r>
        <w:rPr>
          <w:lang w:val="sr-Latn-RS"/>
        </w:rPr>
        <w:t>, all self-evaluation teams went through the self-evaluation training, and all public PIs received mentoring support in the self-evaluation process.</w:t>
      </w:r>
    </w:p>
    <w:p w14:paraId="6CB0745E" w14:textId="77777777" w:rsidR="00E82BB9" w:rsidRDefault="00E82BB9" w:rsidP="00E82BB9">
      <w:pPr>
        <w:pStyle w:val="Default"/>
        <w:jc w:val="both"/>
        <w:rPr>
          <w:lang w:val="sr-Latn-RS"/>
        </w:rPr>
      </w:pPr>
    </w:p>
    <w:p w14:paraId="486D2200" w14:textId="77777777" w:rsidR="00E82BB9" w:rsidRPr="00AE1167" w:rsidRDefault="00E82BB9" w:rsidP="00E82BB9">
      <w:pPr>
        <w:pStyle w:val="Default"/>
        <w:jc w:val="both"/>
        <w:rPr>
          <w:color w:val="FF0000"/>
          <w:lang w:val="sr-Latn-RS"/>
        </w:rPr>
      </w:pPr>
      <w:r>
        <w:rPr>
          <w:lang w:val="sr-Latn-RS"/>
        </w:rPr>
        <w:t xml:space="preserve">Having in mind all the initiated reform processes and the need to plan further activities in supporting PIs directed towards stabilisation and further implementation of change, insights into the ways PIs evaluated their work can contribute to the data-driven decision-making. The analysis of the Report on PI Self-Evaluation in </w:t>
      </w:r>
      <w:r>
        <w:rPr>
          <w:lang w:val="sr-Cyrl-RS"/>
        </w:rPr>
        <w:t>2022/23</w:t>
      </w:r>
      <w:r>
        <w:rPr>
          <w:lang w:val="sr-Latn-RS"/>
        </w:rPr>
        <w:t xml:space="preserve"> should provide information on the way PIs see the quality of their work, which areas of work they choose for self-evaluation and why, what they perceive as the challenges and possibilities in the self-evaluation process, what further activities on improving the quality of work in PIs would be, and what the planned steps for further improvement of the quality of work are.</w:t>
      </w:r>
    </w:p>
    <w:p w14:paraId="1DBE2A8D" w14:textId="77777777" w:rsidR="00E82BB9" w:rsidRPr="00DC6933" w:rsidRDefault="00E82BB9" w:rsidP="00E82BB9">
      <w:pPr>
        <w:rPr>
          <w:bCs/>
        </w:rPr>
      </w:pPr>
    </w:p>
    <w:p w14:paraId="237320D1" w14:textId="77777777" w:rsidR="00E82BB9" w:rsidRPr="00DC6933" w:rsidRDefault="00E82BB9" w:rsidP="00E82BB9">
      <w:pPr>
        <w:pStyle w:val="ListParagraph"/>
        <w:numPr>
          <w:ilvl w:val="0"/>
          <w:numId w:val="2"/>
        </w:numPr>
        <w:ind w:left="851" w:hanging="851"/>
        <w:rPr>
          <w:b/>
        </w:rPr>
      </w:pPr>
      <w:r w:rsidRPr="00DC6933">
        <w:rPr>
          <w:b/>
        </w:rPr>
        <w:t>Detailed Tasks and Responsibilities</w:t>
      </w:r>
    </w:p>
    <w:p w14:paraId="12BEB13E" w14:textId="77777777" w:rsidR="00E82BB9" w:rsidRPr="00DC6933" w:rsidRDefault="00E82BB9" w:rsidP="00E82BB9">
      <w:pPr>
        <w:rPr>
          <w:b/>
        </w:rPr>
      </w:pPr>
    </w:p>
    <w:p w14:paraId="38A25DA8" w14:textId="37D6AA80" w:rsidR="00E82BB9" w:rsidRPr="00DC6933" w:rsidRDefault="00E82BB9" w:rsidP="00E82BB9">
      <w:r w:rsidRPr="00DC6933">
        <w:t>The Consultant</w:t>
      </w:r>
      <w:r>
        <w:t xml:space="preserve"> </w:t>
      </w:r>
      <w:r w:rsidRPr="00C171BA">
        <w:rPr>
          <w:lang w:val="sr-Cyrl-RS"/>
        </w:rPr>
        <w:t xml:space="preserve">for the desk analysis of the </w:t>
      </w:r>
      <w:r>
        <w:rPr>
          <w:lang w:val="sr-Latn-RS"/>
        </w:rPr>
        <w:t>PI</w:t>
      </w:r>
      <w:r w:rsidRPr="00C171BA">
        <w:rPr>
          <w:lang w:val="sr-Cyrl-RS"/>
        </w:rPr>
        <w:t xml:space="preserve"> self-evaluation reports for the year 202</w:t>
      </w:r>
      <w:r w:rsidRPr="00C171BA">
        <w:rPr>
          <w:lang w:val="sr-Latn-RS"/>
        </w:rPr>
        <w:t>2</w:t>
      </w:r>
      <w:r w:rsidRPr="00C171BA">
        <w:rPr>
          <w:lang w:val="sr-Cyrl-RS"/>
        </w:rPr>
        <w:t>/2</w:t>
      </w:r>
      <w:r w:rsidRPr="00C171BA">
        <w:rPr>
          <w:lang w:val="sr-Latn-RS"/>
        </w:rPr>
        <w:t>3</w:t>
      </w:r>
      <w:r w:rsidR="00021B19">
        <w:rPr>
          <w:lang w:val="sr-Latn-RS"/>
        </w:rPr>
        <w:t xml:space="preserve"> </w:t>
      </w:r>
      <w:r w:rsidR="00021B19" w:rsidRPr="006441B6">
        <w:rPr>
          <w:lang w:val="sr-Latn-RS"/>
        </w:rPr>
        <w:t xml:space="preserve">(the </w:t>
      </w:r>
      <w:r w:rsidR="00021B19">
        <w:rPr>
          <w:lang w:val="sr-Latn-RS"/>
        </w:rPr>
        <w:t>second</w:t>
      </w:r>
      <w:r w:rsidR="00021B19" w:rsidRPr="006441B6">
        <w:rPr>
          <w:lang w:val="sr-Latn-RS"/>
        </w:rPr>
        <w:t xml:space="preserve"> group pf </w:t>
      </w:r>
      <w:r w:rsidR="00021B19">
        <w:rPr>
          <w:lang w:val="sr-Latn-RS"/>
        </w:rPr>
        <w:t>PI</w:t>
      </w:r>
      <w:r w:rsidR="00021B19" w:rsidRPr="006441B6">
        <w:rPr>
          <w:lang w:val="sr-Latn-RS"/>
        </w:rPr>
        <w:t>s)</w:t>
      </w:r>
      <w:r w:rsidRPr="00DC6933">
        <w:t xml:space="preserve"> is to carry out the following tasks:</w:t>
      </w:r>
    </w:p>
    <w:p w14:paraId="47EFD078" w14:textId="77777777" w:rsidR="00E82BB9" w:rsidRPr="00DC6933" w:rsidRDefault="00E82BB9" w:rsidP="00E82BB9"/>
    <w:p w14:paraId="561D6EA6" w14:textId="77777777" w:rsidR="00E82BB9" w:rsidRDefault="00E82BB9" w:rsidP="00E82BB9">
      <w:r w:rsidRPr="00DC6933">
        <w:rPr>
          <w:b/>
          <w:bCs/>
        </w:rPr>
        <w:t>Task 1:</w:t>
      </w:r>
      <w:r w:rsidRPr="00DC6933">
        <w:t xml:space="preserve"> </w:t>
      </w:r>
    </w:p>
    <w:p w14:paraId="422AB517" w14:textId="77777777" w:rsidR="00E82BB9" w:rsidRPr="00DC6933" w:rsidRDefault="00E82BB9" w:rsidP="00E82BB9">
      <w:r w:rsidRPr="006B05F7">
        <w:t>Desk analysis of PI self-evaluation reports</w:t>
      </w:r>
      <w:r w:rsidRPr="006B05F7">
        <w:rPr>
          <w:b/>
          <w:bCs/>
        </w:rPr>
        <w:t xml:space="preserve"> </w:t>
      </w:r>
      <w:r w:rsidRPr="006B05F7">
        <w:rPr>
          <w:lang w:val="sr-Cyrl-RS"/>
        </w:rPr>
        <w:t>for the year 202</w:t>
      </w:r>
      <w:r w:rsidRPr="006B05F7">
        <w:rPr>
          <w:lang w:val="sr-Latn-RS"/>
        </w:rPr>
        <w:t>2</w:t>
      </w:r>
      <w:r w:rsidRPr="006B05F7">
        <w:rPr>
          <w:lang w:val="sr-Cyrl-RS"/>
        </w:rPr>
        <w:t>/2</w:t>
      </w:r>
      <w:r w:rsidRPr="006B05F7">
        <w:rPr>
          <w:lang w:val="sr-Latn-RS"/>
        </w:rPr>
        <w:t>3</w:t>
      </w:r>
      <w:r w:rsidRPr="00DC6933">
        <w:rPr>
          <w:b/>
          <w:bCs/>
        </w:rPr>
        <w:t xml:space="preserve"> </w:t>
      </w:r>
      <w:r w:rsidRPr="006B05F7">
        <w:rPr>
          <w:lang w:val="sr-Latn-RS"/>
        </w:rPr>
        <w:t>submitted by 54 public PIs:</w:t>
      </w:r>
    </w:p>
    <w:p w14:paraId="7B720493" w14:textId="77777777" w:rsidR="00E82BB9" w:rsidRDefault="00E82BB9" w:rsidP="00E82BB9">
      <w:pPr>
        <w:pStyle w:val="ListParagraph"/>
        <w:numPr>
          <w:ilvl w:val="0"/>
          <w:numId w:val="3"/>
        </w:numPr>
        <w:ind w:left="567" w:hanging="283"/>
        <w:jc w:val="both"/>
        <w:rPr>
          <w:lang w:val="sr-Cyrl-RS"/>
        </w:rPr>
      </w:pPr>
      <w:r>
        <w:rPr>
          <w:lang w:val="sr-Latn-RS"/>
        </w:rPr>
        <w:t>Based on the prepared desk analysis forms/protocols, the Consultant analyses the content of self-evaluation reports from the following 54 PIs</w:t>
      </w:r>
      <w:r>
        <w:rPr>
          <w:lang w:val="sr-Cyrl-RS"/>
        </w:rPr>
        <w:t>:</w:t>
      </w:r>
    </w:p>
    <w:p w14:paraId="7399CD48" w14:textId="4F7C61D1" w:rsidR="00E82BB9" w:rsidRPr="00DC239A" w:rsidRDefault="00E82BB9" w:rsidP="00021B19">
      <w:pPr>
        <w:pStyle w:val="ListParagraph"/>
        <w:numPr>
          <w:ilvl w:val="0"/>
          <w:numId w:val="12"/>
        </w:numPr>
        <w:ind w:left="1134" w:hanging="425"/>
        <w:rPr>
          <w:bCs/>
        </w:rPr>
      </w:pPr>
      <w:r>
        <w:rPr>
          <w:bCs/>
        </w:rPr>
        <w:lastRenderedPageBreak/>
        <w:t>PI</w:t>
      </w:r>
      <w:r w:rsidRPr="00DC239A">
        <w:rPr>
          <w:bCs/>
        </w:rPr>
        <w:t xml:space="preserve"> </w:t>
      </w:r>
      <w:r>
        <w:rPr>
          <w:bCs/>
        </w:rPr>
        <w:t>Pionir</w:t>
      </w:r>
      <w:r w:rsidRPr="00DC239A">
        <w:rPr>
          <w:bCs/>
        </w:rPr>
        <w:t xml:space="preserve"> </w:t>
      </w:r>
      <w:r>
        <w:rPr>
          <w:bCs/>
        </w:rPr>
        <w:t>Jagodina</w:t>
      </w:r>
    </w:p>
    <w:p w14:paraId="6E654BAC" w14:textId="6B71FB08"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Plavi</w:t>
      </w:r>
      <w:r w:rsidRPr="00DC239A">
        <w:rPr>
          <w:bCs/>
        </w:rPr>
        <w:t xml:space="preserve"> </w:t>
      </w:r>
      <w:r>
        <w:rPr>
          <w:bCs/>
        </w:rPr>
        <w:t>čuperak</w:t>
      </w:r>
      <w:r w:rsidRPr="00DC239A">
        <w:rPr>
          <w:bCs/>
        </w:rPr>
        <w:t xml:space="preserve"> </w:t>
      </w:r>
      <w:r>
        <w:rPr>
          <w:bCs/>
        </w:rPr>
        <w:t>Titel</w:t>
      </w:r>
    </w:p>
    <w:p w14:paraId="3F1503E4" w14:textId="05B661E7"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Poletarac</w:t>
      </w:r>
      <w:r w:rsidRPr="00DC239A">
        <w:rPr>
          <w:bCs/>
        </w:rPr>
        <w:t xml:space="preserve"> </w:t>
      </w:r>
      <w:r>
        <w:rPr>
          <w:bCs/>
        </w:rPr>
        <w:t xml:space="preserve">Barajevo – Beograd </w:t>
      </w:r>
      <w:r w:rsidRPr="00DC239A">
        <w:rPr>
          <w:bCs/>
        </w:rPr>
        <w:t xml:space="preserve"> </w:t>
      </w:r>
    </w:p>
    <w:p w14:paraId="244305CA" w14:textId="210899E0"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Poletarac</w:t>
      </w:r>
      <w:r w:rsidRPr="00DC239A">
        <w:rPr>
          <w:bCs/>
        </w:rPr>
        <w:t xml:space="preserve"> </w:t>
      </w:r>
      <w:r>
        <w:rPr>
          <w:bCs/>
        </w:rPr>
        <w:t>Batočina</w:t>
      </w:r>
    </w:p>
    <w:p w14:paraId="3A41E68F" w14:textId="7B41E5F4"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Poletarac</w:t>
      </w:r>
      <w:r w:rsidRPr="00DC239A">
        <w:rPr>
          <w:bCs/>
        </w:rPr>
        <w:t xml:space="preserve"> </w:t>
      </w:r>
      <w:r>
        <w:rPr>
          <w:bCs/>
        </w:rPr>
        <w:t>Žagubica</w:t>
      </w:r>
    </w:p>
    <w:p w14:paraId="0D36BD11" w14:textId="2BC4FF99"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Poletarac</w:t>
      </w:r>
      <w:r w:rsidRPr="00DC239A">
        <w:rPr>
          <w:bCs/>
        </w:rPr>
        <w:t xml:space="preserve"> </w:t>
      </w:r>
      <w:r>
        <w:rPr>
          <w:bCs/>
        </w:rPr>
        <w:t>Alibunar</w:t>
      </w:r>
    </w:p>
    <w:p w14:paraId="07FFE2BC" w14:textId="54287354"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Poletarac</w:t>
      </w:r>
      <w:r w:rsidRPr="00DC239A">
        <w:rPr>
          <w:bCs/>
        </w:rPr>
        <w:t xml:space="preserve"> </w:t>
      </w:r>
      <w:r>
        <w:rPr>
          <w:bCs/>
        </w:rPr>
        <w:t>Kocelјeva</w:t>
      </w:r>
    </w:p>
    <w:p w14:paraId="7EAA0A8E" w14:textId="69163E5F"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Poletarac</w:t>
      </w:r>
      <w:r w:rsidRPr="00DC239A">
        <w:rPr>
          <w:bCs/>
        </w:rPr>
        <w:t xml:space="preserve"> </w:t>
      </w:r>
      <w:r>
        <w:rPr>
          <w:bCs/>
        </w:rPr>
        <w:t>Ljubovija</w:t>
      </w:r>
    </w:p>
    <w:p w14:paraId="5C63D5A2" w14:textId="665A0238"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Poletarac</w:t>
      </w:r>
      <w:r w:rsidRPr="00DC239A">
        <w:rPr>
          <w:bCs/>
        </w:rPr>
        <w:t xml:space="preserve"> </w:t>
      </w:r>
      <w:r>
        <w:rPr>
          <w:bCs/>
        </w:rPr>
        <w:t>Merošina</w:t>
      </w:r>
    </w:p>
    <w:p w14:paraId="7D077EFD" w14:textId="69BED615"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Poletarac</w:t>
      </w:r>
      <w:r w:rsidRPr="00DC239A">
        <w:rPr>
          <w:bCs/>
        </w:rPr>
        <w:t xml:space="preserve"> </w:t>
      </w:r>
      <w:r>
        <w:rPr>
          <w:bCs/>
        </w:rPr>
        <w:t>Odžaci</w:t>
      </w:r>
    </w:p>
    <w:p w14:paraId="239FB9A1" w14:textId="1028C33B"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Poletarac</w:t>
      </w:r>
      <w:r w:rsidRPr="00DC239A">
        <w:rPr>
          <w:bCs/>
        </w:rPr>
        <w:t xml:space="preserve"> </w:t>
      </w:r>
      <w:r>
        <w:rPr>
          <w:bCs/>
        </w:rPr>
        <w:t>Ruma</w:t>
      </w:r>
    </w:p>
    <w:p w14:paraId="41A129EF" w14:textId="550C1FAC"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Poletarac</w:t>
      </w:r>
      <w:r w:rsidRPr="00DC239A">
        <w:rPr>
          <w:bCs/>
        </w:rPr>
        <w:t xml:space="preserve"> </w:t>
      </w:r>
      <w:r>
        <w:rPr>
          <w:bCs/>
        </w:rPr>
        <w:t>Svrlјig</w:t>
      </w:r>
    </w:p>
    <w:p w14:paraId="5ED2847F" w14:textId="06886125"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Poletarac</w:t>
      </w:r>
      <w:r w:rsidRPr="00DC239A">
        <w:rPr>
          <w:bCs/>
        </w:rPr>
        <w:t xml:space="preserve"> </w:t>
      </w:r>
      <w:r>
        <w:rPr>
          <w:bCs/>
        </w:rPr>
        <w:t>Sečanj</w:t>
      </w:r>
    </w:p>
    <w:p w14:paraId="4D31F1B3" w14:textId="5CEB107A"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Poletarac</w:t>
      </w:r>
      <w:r w:rsidRPr="00DC239A">
        <w:rPr>
          <w:bCs/>
        </w:rPr>
        <w:t xml:space="preserve"> </w:t>
      </w:r>
      <w:r>
        <w:rPr>
          <w:bCs/>
        </w:rPr>
        <w:t>Stara</w:t>
      </w:r>
      <w:r w:rsidRPr="00DC239A">
        <w:rPr>
          <w:bCs/>
        </w:rPr>
        <w:t xml:space="preserve"> </w:t>
      </w:r>
      <w:r>
        <w:rPr>
          <w:bCs/>
        </w:rPr>
        <w:t>Pazova</w:t>
      </w:r>
    </w:p>
    <w:p w14:paraId="101239A5" w14:textId="6900AD37"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Trgovište</w:t>
      </w:r>
      <w:r w:rsidR="009F6D0E">
        <w:rPr>
          <w:bCs/>
        </w:rPr>
        <w:t xml:space="preserve"> Trgovište</w:t>
      </w:r>
    </w:p>
    <w:p w14:paraId="263A2BB6" w14:textId="10A39828"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Prva</w:t>
      </w:r>
      <w:r w:rsidRPr="00DC239A">
        <w:rPr>
          <w:bCs/>
        </w:rPr>
        <w:t xml:space="preserve"> </w:t>
      </w:r>
      <w:r>
        <w:rPr>
          <w:bCs/>
        </w:rPr>
        <w:t>radost</w:t>
      </w:r>
      <w:r w:rsidRPr="00DC239A">
        <w:rPr>
          <w:bCs/>
        </w:rPr>
        <w:t xml:space="preserve"> </w:t>
      </w:r>
      <w:r>
        <w:rPr>
          <w:bCs/>
        </w:rPr>
        <w:t>Gadžin</w:t>
      </w:r>
      <w:r w:rsidRPr="00DC239A">
        <w:rPr>
          <w:bCs/>
        </w:rPr>
        <w:t xml:space="preserve"> </w:t>
      </w:r>
      <w:r>
        <w:rPr>
          <w:bCs/>
        </w:rPr>
        <w:t>Han</w:t>
      </w:r>
    </w:p>
    <w:p w14:paraId="20ABA482" w14:textId="704D9330"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Prva</w:t>
      </w:r>
      <w:r w:rsidRPr="00DC239A">
        <w:rPr>
          <w:bCs/>
        </w:rPr>
        <w:t xml:space="preserve"> </w:t>
      </w:r>
      <w:r>
        <w:rPr>
          <w:bCs/>
        </w:rPr>
        <w:t>radost</w:t>
      </w:r>
      <w:r w:rsidRPr="00DC239A">
        <w:rPr>
          <w:bCs/>
        </w:rPr>
        <w:t xml:space="preserve"> </w:t>
      </w:r>
      <w:r>
        <w:rPr>
          <w:bCs/>
        </w:rPr>
        <w:t>Žitorađa</w:t>
      </w:r>
    </w:p>
    <w:p w14:paraId="73D2DC53" w14:textId="44156959"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Pčelica</w:t>
      </w:r>
      <w:r w:rsidRPr="00DC239A">
        <w:rPr>
          <w:bCs/>
        </w:rPr>
        <w:t xml:space="preserve"> </w:t>
      </w:r>
      <w:r>
        <w:rPr>
          <w:bCs/>
        </w:rPr>
        <w:t>Apatin</w:t>
      </w:r>
    </w:p>
    <w:p w14:paraId="7B5B58D4" w14:textId="55CDEF4C"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Pčelica</w:t>
      </w:r>
      <w:r w:rsidRPr="00DC239A">
        <w:rPr>
          <w:bCs/>
        </w:rPr>
        <w:t xml:space="preserve"> </w:t>
      </w:r>
      <w:r>
        <w:rPr>
          <w:bCs/>
        </w:rPr>
        <w:t>Vladičin</w:t>
      </w:r>
      <w:r w:rsidRPr="00DC239A">
        <w:rPr>
          <w:bCs/>
        </w:rPr>
        <w:t xml:space="preserve"> </w:t>
      </w:r>
      <w:r>
        <w:rPr>
          <w:bCs/>
        </w:rPr>
        <w:t>Han</w:t>
      </w:r>
    </w:p>
    <w:p w14:paraId="7A6BC6CE" w14:textId="5712E524"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Pčelica</w:t>
      </w:r>
      <w:r w:rsidRPr="00DC239A">
        <w:rPr>
          <w:bCs/>
        </w:rPr>
        <w:t xml:space="preserve"> </w:t>
      </w:r>
      <w:r>
        <w:rPr>
          <w:bCs/>
        </w:rPr>
        <w:t>Negotin</w:t>
      </w:r>
    </w:p>
    <w:p w14:paraId="13B6CE8A" w14:textId="052EB313"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Pčelica</w:t>
      </w:r>
      <w:r w:rsidRPr="00DC239A">
        <w:rPr>
          <w:bCs/>
        </w:rPr>
        <w:t xml:space="preserve"> </w:t>
      </w:r>
      <w:r>
        <w:rPr>
          <w:bCs/>
        </w:rPr>
        <w:t>Niš</w:t>
      </w:r>
    </w:p>
    <w:p w14:paraId="671E47CA" w14:textId="1E73FBAD"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Pčelica</w:t>
      </w:r>
      <w:r w:rsidRPr="00DC239A">
        <w:rPr>
          <w:bCs/>
        </w:rPr>
        <w:t xml:space="preserve"> </w:t>
      </w:r>
      <w:r>
        <w:rPr>
          <w:bCs/>
        </w:rPr>
        <w:t>Sremska</w:t>
      </w:r>
      <w:r w:rsidRPr="00DC239A">
        <w:rPr>
          <w:bCs/>
        </w:rPr>
        <w:t xml:space="preserve"> </w:t>
      </w:r>
      <w:r>
        <w:rPr>
          <w:bCs/>
        </w:rPr>
        <w:t>Mitrovica</w:t>
      </w:r>
    </w:p>
    <w:p w14:paraId="0FB5116A" w14:textId="43FD4E8E"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Rada</w:t>
      </w:r>
      <w:r w:rsidRPr="00DC239A">
        <w:rPr>
          <w:bCs/>
        </w:rPr>
        <w:t xml:space="preserve"> </w:t>
      </w:r>
      <w:r>
        <w:rPr>
          <w:bCs/>
        </w:rPr>
        <w:t>Milјković</w:t>
      </w:r>
      <w:r w:rsidRPr="00DC239A">
        <w:rPr>
          <w:bCs/>
        </w:rPr>
        <w:t xml:space="preserve"> </w:t>
      </w:r>
      <w:r>
        <w:rPr>
          <w:bCs/>
        </w:rPr>
        <w:t>Despotovac</w:t>
      </w:r>
    </w:p>
    <w:p w14:paraId="3069BABE" w14:textId="6B43E684"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Radosno</w:t>
      </w:r>
      <w:r w:rsidRPr="00DC239A">
        <w:rPr>
          <w:bCs/>
        </w:rPr>
        <w:t xml:space="preserve"> </w:t>
      </w:r>
      <w:r>
        <w:rPr>
          <w:bCs/>
        </w:rPr>
        <w:t>detinjstvo</w:t>
      </w:r>
      <w:r w:rsidRPr="00DC239A">
        <w:rPr>
          <w:bCs/>
        </w:rPr>
        <w:t xml:space="preserve"> </w:t>
      </w:r>
      <w:r>
        <w:rPr>
          <w:bCs/>
        </w:rPr>
        <w:t>Novi</w:t>
      </w:r>
      <w:r w:rsidRPr="00DC239A">
        <w:rPr>
          <w:bCs/>
        </w:rPr>
        <w:t xml:space="preserve"> </w:t>
      </w:r>
      <w:r>
        <w:rPr>
          <w:bCs/>
        </w:rPr>
        <w:t>Sad</w:t>
      </w:r>
    </w:p>
    <w:p w14:paraId="632DDD71" w14:textId="31798993"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Radost</w:t>
      </w:r>
      <w:r w:rsidRPr="00DC239A">
        <w:rPr>
          <w:bCs/>
        </w:rPr>
        <w:t xml:space="preserve"> </w:t>
      </w:r>
      <w:r>
        <w:rPr>
          <w:bCs/>
        </w:rPr>
        <w:t>Vrnjačka</w:t>
      </w:r>
      <w:r w:rsidRPr="00DC239A">
        <w:rPr>
          <w:bCs/>
        </w:rPr>
        <w:t xml:space="preserve"> </w:t>
      </w:r>
      <w:r>
        <w:rPr>
          <w:bCs/>
        </w:rPr>
        <w:t>Banja</w:t>
      </w:r>
    </w:p>
    <w:p w14:paraId="719530C2" w14:textId="203B170C"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Radost</w:t>
      </w:r>
      <w:r w:rsidRPr="00DC239A">
        <w:rPr>
          <w:bCs/>
        </w:rPr>
        <w:t xml:space="preserve"> </w:t>
      </w:r>
      <w:r>
        <w:rPr>
          <w:bCs/>
        </w:rPr>
        <w:t>Novi</w:t>
      </w:r>
      <w:r w:rsidRPr="00DC239A">
        <w:rPr>
          <w:bCs/>
        </w:rPr>
        <w:t xml:space="preserve"> </w:t>
      </w:r>
      <w:r>
        <w:rPr>
          <w:bCs/>
        </w:rPr>
        <w:t>Banovci</w:t>
      </w:r>
    </w:p>
    <w:p w14:paraId="037C7439" w14:textId="70FC0A9D"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Radost</w:t>
      </w:r>
      <w:r w:rsidRPr="00DC239A">
        <w:rPr>
          <w:bCs/>
        </w:rPr>
        <w:t xml:space="preserve"> </w:t>
      </w:r>
      <w:r>
        <w:rPr>
          <w:bCs/>
        </w:rPr>
        <w:t>Srbobran</w:t>
      </w:r>
    </w:p>
    <w:p w14:paraId="588357FE" w14:textId="4CC5542B"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Radost</w:t>
      </w:r>
      <w:r w:rsidRPr="00DC239A">
        <w:rPr>
          <w:bCs/>
        </w:rPr>
        <w:t xml:space="preserve"> </w:t>
      </w:r>
      <w:r>
        <w:rPr>
          <w:bCs/>
        </w:rPr>
        <w:t>Čajetina</w:t>
      </w:r>
    </w:p>
    <w:p w14:paraId="41D38856" w14:textId="6E172CF8"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Radost</w:t>
      </w:r>
      <w:r w:rsidRPr="00DC239A">
        <w:rPr>
          <w:bCs/>
        </w:rPr>
        <w:t xml:space="preserve"> </w:t>
      </w:r>
      <w:r>
        <w:rPr>
          <w:bCs/>
        </w:rPr>
        <w:t>Čačak</w:t>
      </w:r>
      <w:r w:rsidRPr="00DC239A">
        <w:rPr>
          <w:bCs/>
        </w:rPr>
        <w:t xml:space="preserve"> </w:t>
      </w:r>
    </w:p>
    <w:p w14:paraId="6B2215A5" w14:textId="5DF3FAE6"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Radost</w:t>
      </w:r>
      <w:r w:rsidRPr="00DC239A">
        <w:rPr>
          <w:bCs/>
        </w:rPr>
        <w:t xml:space="preserve"> </w:t>
      </w:r>
      <w:r>
        <w:rPr>
          <w:bCs/>
        </w:rPr>
        <w:t>Čoka</w:t>
      </w:r>
    </w:p>
    <w:p w14:paraId="15A542F2" w14:textId="483A1C88"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Rakila</w:t>
      </w:r>
      <w:r w:rsidRPr="00DC239A">
        <w:rPr>
          <w:bCs/>
        </w:rPr>
        <w:t xml:space="preserve"> </w:t>
      </w:r>
      <w:r>
        <w:rPr>
          <w:bCs/>
        </w:rPr>
        <w:t>Kotarov</w:t>
      </w:r>
      <w:r w:rsidRPr="00DC239A">
        <w:rPr>
          <w:bCs/>
        </w:rPr>
        <w:t xml:space="preserve"> </w:t>
      </w:r>
      <w:r>
        <w:rPr>
          <w:bCs/>
        </w:rPr>
        <w:t>Vuka</w:t>
      </w:r>
      <w:r w:rsidRPr="00DC239A">
        <w:rPr>
          <w:bCs/>
        </w:rPr>
        <w:t xml:space="preserve"> </w:t>
      </w:r>
      <w:r>
        <w:rPr>
          <w:bCs/>
        </w:rPr>
        <w:t xml:space="preserve">Lazarevac – Beograd </w:t>
      </w:r>
      <w:r w:rsidRPr="00DC239A">
        <w:rPr>
          <w:bCs/>
        </w:rPr>
        <w:t xml:space="preserve"> </w:t>
      </w:r>
    </w:p>
    <w:p w14:paraId="0005F5E4" w14:textId="7D7F6C94"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Rakovica</w:t>
      </w:r>
      <w:r w:rsidRPr="00DC239A">
        <w:rPr>
          <w:bCs/>
        </w:rPr>
        <w:t xml:space="preserve"> </w:t>
      </w:r>
      <w:r>
        <w:rPr>
          <w:bCs/>
        </w:rPr>
        <w:t xml:space="preserve">Rakovica – Beograd </w:t>
      </w:r>
    </w:p>
    <w:p w14:paraId="7FB6D33D" w14:textId="4E8E0AF6"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Savski</w:t>
      </w:r>
      <w:r w:rsidRPr="00DC239A">
        <w:rPr>
          <w:bCs/>
        </w:rPr>
        <w:t xml:space="preserve"> </w:t>
      </w:r>
      <w:r>
        <w:rPr>
          <w:bCs/>
        </w:rPr>
        <w:t>venac</w:t>
      </w:r>
      <w:r w:rsidRPr="00DC239A">
        <w:rPr>
          <w:bCs/>
        </w:rPr>
        <w:t xml:space="preserve"> </w:t>
      </w:r>
      <w:r>
        <w:rPr>
          <w:bCs/>
        </w:rPr>
        <w:t>Savski</w:t>
      </w:r>
      <w:r w:rsidRPr="00DC239A">
        <w:rPr>
          <w:bCs/>
        </w:rPr>
        <w:t xml:space="preserve"> </w:t>
      </w:r>
      <w:r>
        <w:rPr>
          <w:bCs/>
        </w:rPr>
        <w:t xml:space="preserve">venac – Beograd </w:t>
      </w:r>
      <w:r w:rsidRPr="00DC239A">
        <w:rPr>
          <w:bCs/>
        </w:rPr>
        <w:t xml:space="preserve"> </w:t>
      </w:r>
    </w:p>
    <w:p w14:paraId="23D2B9D5" w14:textId="7B6754F4"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Slava</w:t>
      </w:r>
      <w:r w:rsidRPr="00DC239A">
        <w:rPr>
          <w:bCs/>
        </w:rPr>
        <w:t xml:space="preserve"> </w:t>
      </w:r>
      <w:r>
        <w:rPr>
          <w:bCs/>
        </w:rPr>
        <w:t>Ković</w:t>
      </w:r>
      <w:r w:rsidRPr="00DC239A">
        <w:rPr>
          <w:bCs/>
        </w:rPr>
        <w:t xml:space="preserve"> </w:t>
      </w:r>
      <w:r>
        <w:rPr>
          <w:bCs/>
        </w:rPr>
        <w:t>Bogatić</w:t>
      </w:r>
    </w:p>
    <w:p w14:paraId="662FEC94" w14:textId="08AE434C"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Snežana</w:t>
      </w:r>
      <w:r w:rsidRPr="00DC239A">
        <w:rPr>
          <w:bCs/>
        </w:rPr>
        <w:t xml:space="preserve"> </w:t>
      </w:r>
      <w:r>
        <w:rPr>
          <w:bCs/>
        </w:rPr>
        <w:t>Senta</w:t>
      </w:r>
    </w:p>
    <w:p w14:paraId="5793DF8D" w14:textId="4152FC8B"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Sofija</w:t>
      </w:r>
      <w:r w:rsidRPr="00DC239A">
        <w:rPr>
          <w:bCs/>
        </w:rPr>
        <w:t xml:space="preserve"> </w:t>
      </w:r>
      <w:r>
        <w:rPr>
          <w:bCs/>
        </w:rPr>
        <w:t>Ristić</w:t>
      </w:r>
      <w:r w:rsidRPr="00DC239A">
        <w:rPr>
          <w:bCs/>
        </w:rPr>
        <w:t xml:space="preserve"> </w:t>
      </w:r>
      <w:r>
        <w:rPr>
          <w:bCs/>
        </w:rPr>
        <w:t>Topola</w:t>
      </w:r>
    </w:p>
    <w:p w14:paraId="5EF412BE" w14:textId="113C8B59"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Srećno</w:t>
      </w:r>
      <w:r w:rsidRPr="00DC239A">
        <w:rPr>
          <w:bCs/>
        </w:rPr>
        <w:t xml:space="preserve"> </w:t>
      </w:r>
      <w:r>
        <w:rPr>
          <w:bCs/>
        </w:rPr>
        <w:t>dete</w:t>
      </w:r>
      <w:r w:rsidRPr="00DC239A">
        <w:rPr>
          <w:bCs/>
        </w:rPr>
        <w:t xml:space="preserve"> </w:t>
      </w:r>
      <w:r>
        <w:rPr>
          <w:bCs/>
        </w:rPr>
        <w:t>Novi</w:t>
      </w:r>
      <w:r w:rsidRPr="00DC239A">
        <w:rPr>
          <w:bCs/>
        </w:rPr>
        <w:t xml:space="preserve"> </w:t>
      </w:r>
      <w:r>
        <w:rPr>
          <w:bCs/>
        </w:rPr>
        <w:t>Kneževac</w:t>
      </w:r>
    </w:p>
    <w:p w14:paraId="547FD9CA" w14:textId="73324DFD"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Srećno</w:t>
      </w:r>
      <w:r w:rsidRPr="00DC239A">
        <w:rPr>
          <w:bCs/>
        </w:rPr>
        <w:t xml:space="preserve"> </w:t>
      </w:r>
      <w:r>
        <w:rPr>
          <w:bCs/>
        </w:rPr>
        <w:t>detinjstvo</w:t>
      </w:r>
      <w:r w:rsidRPr="00DC239A">
        <w:rPr>
          <w:bCs/>
        </w:rPr>
        <w:t xml:space="preserve"> </w:t>
      </w:r>
      <w:r>
        <w:rPr>
          <w:bCs/>
        </w:rPr>
        <w:t>Plandište</w:t>
      </w:r>
    </w:p>
    <w:p w14:paraId="47D30142" w14:textId="1F7254EE"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Sunce</w:t>
      </w:r>
      <w:r w:rsidRPr="00DC239A">
        <w:rPr>
          <w:bCs/>
        </w:rPr>
        <w:t xml:space="preserve"> </w:t>
      </w:r>
      <w:r>
        <w:rPr>
          <w:bCs/>
        </w:rPr>
        <w:t>Gornji</w:t>
      </w:r>
      <w:r w:rsidRPr="00DC239A">
        <w:rPr>
          <w:bCs/>
        </w:rPr>
        <w:t xml:space="preserve"> </w:t>
      </w:r>
      <w:r>
        <w:rPr>
          <w:bCs/>
        </w:rPr>
        <w:t>Milanovac</w:t>
      </w:r>
    </w:p>
    <w:p w14:paraId="04E429E1" w14:textId="1896E842"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Sunce</w:t>
      </w:r>
      <w:r w:rsidRPr="00DC239A">
        <w:rPr>
          <w:bCs/>
        </w:rPr>
        <w:t xml:space="preserve"> </w:t>
      </w:r>
      <w:r>
        <w:rPr>
          <w:bCs/>
        </w:rPr>
        <w:t>Kuršumlija</w:t>
      </w:r>
    </w:p>
    <w:p w14:paraId="40275B9A" w14:textId="231E0A72"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Suncokreti</w:t>
      </w:r>
      <w:r w:rsidRPr="00DC239A">
        <w:rPr>
          <w:bCs/>
        </w:rPr>
        <w:t xml:space="preserve"> </w:t>
      </w:r>
      <w:r>
        <w:rPr>
          <w:bCs/>
        </w:rPr>
        <w:t>Vladimirci</w:t>
      </w:r>
    </w:p>
    <w:p w14:paraId="40F20BFF" w14:textId="29E0D317"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Surčin</w:t>
      </w:r>
      <w:r w:rsidRPr="00DC239A">
        <w:rPr>
          <w:bCs/>
        </w:rPr>
        <w:t xml:space="preserve"> </w:t>
      </w:r>
      <w:r>
        <w:rPr>
          <w:bCs/>
        </w:rPr>
        <w:t>Surčin</w:t>
      </w:r>
      <w:r w:rsidR="009F6D0E">
        <w:rPr>
          <w:bCs/>
        </w:rPr>
        <w:t xml:space="preserve"> – Beograd</w:t>
      </w:r>
    </w:p>
    <w:p w14:paraId="20C30271" w14:textId="1D72DD7B"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Ub</w:t>
      </w:r>
      <w:r w:rsidRPr="00DC239A">
        <w:rPr>
          <w:bCs/>
        </w:rPr>
        <w:t xml:space="preserve"> </w:t>
      </w:r>
      <w:r>
        <w:rPr>
          <w:bCs/>
        </w:rPr>
        <w:t>Ub</w:t>
      </w:r>
    </w:p>
    <w:p w14:paraId="7441637E" w14:textId="1044EA88"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Užice</w:t>
      </w:r>
      <w:r w:rsidRPr="00DC239A">
        <w:rPr>
          <w:bCs/>
        </w:rPr>
        <w:t xml:space="preserve"> </w:t>
      </w:r>
      <w:r>
        <w:rPr>
          <w:bCs/>
        </w:rPr>
        <w:t>Užice</w:t>
      </w:r>
    </w:p>
    <w:p w14:paraId="0B92CCB1" w14:textId="4EAE7EB7"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Habiba</w:t>
      </w:r>
      <w:r w:rsidRPr="00DC239A">
        <w:rPr>
          <w:bCs/>
        </w:rPr>
        <w:t xml:space="preserve"> </w:t>
      </w:r>
      <w:r>
        <w:rPr>
          <w:bCs/>
        </w:rPr>
        <w:t>Stočević</w:t>
      </w:r>
      <w:r w:rsidRPr="00DC239A">
        <w:rPr>
          <w:bCs/>
        </w:rPr>
        <w:t xml:space="preserve"> </w:t>
      </w:r>
      <w:r>
        <w:rPr>
          <w:bCs/>
        </w:rPr>
        <w:t>Tutin</w:t>
      </w:r>
    </w:p>
    <w:p w14:paraId="19C355C7" w14:textId="05F56B66"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Cvetić</w:t>
      </w:r>
      <w:r w:rsidRPr="00DC239A">
        <w:rPr>
          <w:bCs/>
        </w:rPr>
        <w:t xml:space="preserve"> </w:t>
      </w:r>
      <w:r>
        <w:rPr>
          <w:bCs/>
        </w:rPr>
        <w:t>Knić</w:t>
      </w:r>
    </w:p>
    <w:p w14:paraId="75BE84F6" w14:textId="2F2D4000"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Crvenkapa</w:t>
      </w:r>
      <w:r w:rsidRPr="00DC239A">
        <w:rPr>
          <w:bCs/>
        </w:rPr>
        <w:t xml:space="preserve"> </w:t>
      </w:r>
      <w:r>
        <w:rPr>
          <w:bCs/>
        </w:rPr>
        <w:t>Mali</w:t>
      </w:r>
      <w:r w:rsidRPr="00DC239A">
        <w:rPr>
          <w:bCs/>
        </w:rPr>
        <w:t xml:space="preserve"> </w:t>
      </w:r>
      <w:r>
        <w:rPr>
          <w:bCs/>
        </w:rPr>
        <w:t>Zvornik</w:t>
      </w:r>
    </w:p>
    <w:p w14:paraId="28FFD11F" w14:textId="776B2C5E"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Čarolija</w:t>
      </w:r>
      <w:r w:rsidRPr="00DC239A">
        <w:rPr>
          <w:bCs/>
        </w:rPr>
        <w:t xml:space="preserve"> </w:t>
      </w:r>
      <w:r>
        <w:rPr>
          <w:bCs/>
        </w:rPr>
        <w:t>Vršac</w:t>
      </w:r>
    </w:p>
    <w:p w14:paraId="7906608F" w14:textId="4C75835D"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Čarolija</w:t>
      </w:r>
      <w:r w:rsidRPr="00DC239A">
        <w:rPr>
          <w:bCs/>
        </w:rPr>
        <w:t xml:space="preserve"> </w:t>
      </w:r>
      <w:r>
        <w:rPr>
          <w:bCs/>
        </w:rPr>
        <w:t>Ćičevac</w:t>
      </w:r>
    </w:p>
    <w:p w14:paraId="04B3470A" w14:textId="31EFECE1"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Čika</w:t>
      </w:r>
      <w:r w:rsidRPr="00DC239A">
        <w:rPr>
          <w:bCs/>
        </w:rPr>
        <w:t xml:space="preserve"> </w:t>
      </w:r>
      <w:r>
        <w:rPr>
          <w:bCs/>
        </w:rPr>
        <w:t>Jova</w:t>
      </w:r>
      <w:r w:rsidRPr="00DC239A">
        <w:rPr>
          <w:bCs/>
        </w:rPr>
        <w:t xml:space="preserve"> </w:t>
      </w:r>
      <w:r>
        <w:rPr>
          <w:bCs/>
        </w:rPr>
        <w:t>Zmaj</w:t>
      </w:r>
      <w:r w:rsidRPr="00DC239A">
        <w:rPr>
          <w:bCs/>
        </w:rPr>
        <w:t xml:space="preserve"> </w:t>
      </w:r>
      <w:r>
        <w:rPr>
          <w:bCs/>
        </w:rPr>
        <w:t>Ada</w:t>
      </w:r>
    </w:p>
    <w:p w14:paraId="6CB8EC20" w14:textId="6A52ABD3" w:rsidR="00E82BB9" w:rsidRPr="00DC239A" w:rsidRDefault="00E82BB9" w:rsidP="00021B19">
      <w:pPr>
        <w:pStyle w:val="ListParagraph"/>
        <w:numPr>
          <w:ilvl w:val="0"/>
          <w:numId w:val="12"/>
        </w:numPr>
        <w:ind w:left="1134" w:hanging="425"/>
        <w:rPr>
          <w:bCs/>
        </w:rPr>
      </w:pPr>
      <w:r>
        <w:rPr>
          <w:bCs/>
        </w:rPr>
        <w:lastRenderedPageBreak/>
        <w:t>PI</w:t>
      </w:r>
      <w:r w:rsidRPr="00DC239A">
        <w:rPr>
          <w:bCs/>
        </w:rPr>
        <w:t xml:space="preserve"> </w:t>
      </w:r>
      <w:r>
        <w:rPr>
          <w:bCs/>
        </w:rPr>
        <w:t>Čika</w:t>
      </w:r>
      <w:r w:rsidRPr="00DC239A">
        <w:rPr>
          <w:bCs/>
        </w:rPr>
        <w:t xml:space="preserve"> </w:t>
      </w:r>
      <w:r>
        <w:rPr>
          <w:bCs/>
        </w:rPr>
        <w:t>Jova</w:t>
      </w:r>
      <w:r w:rsidRPr="00DC239A">
        <w:rPr>
          <w:bCs/>
        </w:rPr>
        <w:t xml:space="preserve"> </w:t>
      </w:r>
      <w:r>
        <w:rPr>
          <w:bCs/>
        </w:rPr>
        <w:t>Zmaj</w:t>
      </w:r>
      <w:r w:rsidRPr="00DC239A">
        <w:rPr>
          <w:bCs/>
        </w:rPr>
        <w:t xml:space="preserve"> </w:t>
      </w:r>
      <w:r>
        <w:rPr>
          <w:bCs/>
        </w:rPr>
        <w:t xml:space="preserve">Voždovac – Beograd </w:t>
      </w:r>
      <w:r w:rsidRPr="00DC239A">
        <w:rPr>
          <w:bCs/>
        </w:rPr>
        <w:t xml:space="preserve"> </w:t>
      </w:r>
    </w:p>
    <w:p w14:paraId="0D4768E3" w14:textId="0F42749C"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Čika</w:t>
      </w:r>
      <w:r w:rsidRPr="00DC239A">
        <w:rPr>
          <w:bCs/>
        </w:rPr>
        <w:t xml:space="preserve"> </w:t>
      </w:r>
      <w:r>
        <w:rPr>
          <w:bCs/>
        </w:rPr>
        <w:t>Jova</w:t>
      </w:r>
      <w:r w:rsidRPr="00DC239A">
        <w:rPr>
          <w:bCs/>
        </w:rPr>
        <w:t xml:space="preserve"> </w:t>
      </w:r>
      <w:r>
        <w:rPr>
          <w:bCs/>
        </w:rPr>
        <w:t>Zmaj</w:t>
      </w:r>
      <w:r w:rsidRPr="00DC239A">
        <w:rPr>
          <w:bCs/>
        </w:rPr>
        <w:t xml:space="preserve"> </w:t>
      </w:r>
      <w:r>
        <w:rPr>
          <w:bCs/>
        </w:rPr>
        <w:t>Pirot</w:t>
      </w:r>
    </w:p>
    <w:p w14:paraId="078F7741" w14:textId="2AEA1911" w:rsidR="00E82BB9" w:rsidRPr="00DC239A" w:rsidRDefault="00E82BB9" w:rsidP="00021B19">
      <w:pPr>
        <w:pStyle w:val="ListParagraph"/>
        <w:numPr>
          <w:ilvl w:val="0"/>
          <w:numId w:val="12"/>
        </w:numPr>
        <w:ind w:left="1134" w:hanging="425"/>
        <w:rPr>
          <w:bCs/>
        </w:rPr>
      </w:pPr>
      <w:r>
        <w:rPr>
          <w:bCs/>
        </w:rPr>
        <w:t>PI</w:t>
      </w:r>
      <w:r w:rsidRPr="00DC239A">
        <w:rPr>
          <w:bCs/>
        </w:rPr>
        <w:t xml:space="preserve"> </w:t>
      </w:r>
      <w:r>
        <w:rPr>
          <w:bCs/>
        </w:rPr>
        <w:t>Čika</w:t>
      </w:r>
      <w:r w:rsidRPr="00DC239A">
        <w:rPr>
          <w:bCs/>
        </w:rPr>
        <w:t xml:space="preserve"> </w:t>
      </w:r>
      <w:r>
        <w:rPr>
          <w:bCs/>
        </w:rPr>
        <w:t>Jova</w:t>
      </w:r>
      <w:r w:rsidRPr="00DC239A">
        <w:rPr>
          <w:bCs/>
        </w:rPr>
        <w:t xml:space="preserve"> </w:t>
      </w:r>
      <w:r>
        <w:rPr>
          <w:bCs/>
        </w:rPr>
        <w:t>Zmaj</w:t>
      </w:r>
      <w:r w:rsidRPr="00DC239A">
        <w:rPr>
          <w:bCs/>
        </w:rPr>
        <w:t xml:space="preserve"> </w:t>
      </w:r>
      <w:r>
        <w:rPr>
          <w:bCs/>
        </w:rPr>
        <w:t>Smederevska</w:t>
      </w:r>
      <w:r w:rsidRPr="00DC239A">
        <w:rPr>
          <w:bCs/>
        </w:rPr>
        <w:t xml:space="preserve"> </w:t>
      </w:r>
      <w:r>
        <w:rPr>
          <w:bCs/>
        </w:rPr>
        <w:t>Palanka</w:t>
      </w:r>
    </w:p>
    <w:p w14:paraId="6324FDA1" w14:textId="67BC8F3F" w:rsidR="00E82BB9" w:rsidRPr="003671B7" w:rsidRDefault="00E82BB9" w:rsidP="00021B19">
      <w:pPr>
        <w:pStyle w:val="ListParagraph"/>
        <w:numPr>
          <w:ilvl w:val="0"/>
          <w:numId w:val="12"/>
        </w:numPr>
        <w:ind w:left="1134" w:hanging="425"/>
        <w:rPr>
          <w:bCs/>
        </w:rPr>
      </w:pPr>
      <w:r>
        <w:rPr>
          <w:bCs/>
        </w:rPr>
        <w:t>PI</w:t>
      </w:r>
      <w:r w:rsidRPr="00DC239A">
        <w:rPr>
          <w:bCs/>
        </w:rPr>
        <w:t xml:space="preserve"> </w:t>
      </w:r>
      <w:r>
        <w:rPr>
          <w:bCs/>
        </w:rPr>
        <w:t>Čukarica</w:t>
      </w:r>
      <w:r w:rsidRPr="00DC239A">
        <w:rPr>
          <w:bCs/>
        </w:rPr>
        <w:t xml:space="preserve"> </w:t>
      </w:r>
      <w:r>
        <w:rPr>
          <w:bCs/>
        </w:rPr>
        <w:t>Čukarica – Beograd</w:t>
      </w:r>
      <w:r w:rsidRPr="003671B7">
        <w:rPr>
          <w:lang w:val="sr-Latn-RS"/>
        </w:rPr>
        <w:t>;</w:t>
      </w:r>
    </w:p>
    <w:p w14:paraId="1D22FB15" w14:textId="77777777" w:rsidR="00E82BB9" w:rsidRDefault="00E82BB9" w:rsidP="00E82BB9">
      <w:pPr>
        <w:pStyle w:val="ListParagraph"/>
        <w:numPr>
          <w:ilvl w:val="0"/>
          <w:numId w:val="3"/>
        </w:numPr>
        <w:ind w:left="1134" w:hanging="283"/>
        <w:jc w:val="both"/>
        <w:rPr>
          <w:lang w:val="sr-Cyrl-RS"/>
        </w:rPr>
      </w:pPr>
      <w:r>
        <w:rPr>
          <w:lang w:val="sr-Latn-RS"/>
        </w:rPr>
        <w:t>The Consultant prepares a summary for each PI;</w:t>
      </w:r>
      <w:r>
        <w:rPr>
          <w:lang w:val="sr-Cyrl-RS"/>
        </w:rPr>
        <w:t xml:space="preserve"> </w:t>
      </w:r>
    </w:p>
    <w:p w14:paraId="62071630" w14:textId="77777777" w:rsidR="00E82BB9" w:rsidRDefault="00E82BB9" w:rsidP="00E82BB9">
      <w:pPr>
        <w:pStyle w:val="ListParagraph"/>
        <w:numPr>
          <w:ilvl w:val="0"/>
          <w:numId w:val="3"/>
        </w:numPr>
        <w:ind w:left="1134" w:hanging="283"/>
        <w:jc w:val="both"/>
        <w:rPr>
          <w:lang w:val="sr-Cyrl-RS"/>
        </w:rPr>
      </w:pPr>
      <w:r>
        <w:rPr>
          <w:lang w:val="sr-Latn-RS"/>
        </w:rPr>
        <w:t>Based on the structure and content of the final report, the Consultant prepares necessary data for the cumulative summary report.</w:t>
      </w:r>
      <w:r>
        <w:rPr>
          <w:lang w:val="sr-Cyrl-RS"/>
        </w:rPr>
        <w:t xml:space="preserve"> </w:t>
      </w:r>
    </w:p>
    <w:p w14:paraId="44EB2D2B" w14:textId="77777777" w:rsidR="00E82BB9" w:rsidRPr="00DC6933" w:rsidRDefault="00E82BB9" w:rsidP="00E82BB9"/>
    <w:p w14:paraId="0D309C85" w14:textId="77777777" w:rsidR="00E82BB9" w:rsidRPr="00DC6933" w:rsidRDefault="00E82BB9" w:rsidP="00E82BB9">
      <w:pPr>
        <w:rPr>
          <w:b/>
          <w:bCs/>
        </w:rPr>
      </w:pPr>
      <w:r w:rsidRPr="00DC6933">
        <w:rPr>
          <w:b/>
          <w:bCs/>
        </w:rPr>
        <w:t xml:space="preserve">Deliverables </w:t>
      </w:r>
      <w:r>
        <w:rPr>
          <w:b/>
          <w:bCs/>
        </w:rPr>
        <w:t>n</w:t>
      </w:r>
      <w:r w:rsidRPr="00DC6933">
        <w:rPr>
          <w:b/>
          <w:bCs/>
        </w:rPr>
        <w:t xml:space="preserve">o. </w:t>
      </w:r>
      <w:r>
        <w:rPr>
          <w:b/>
          <w:bCs/>
        </w:rPr>
        <w:t>1</w:t>
      </w:r>
      <w:r w:rsidRPr="00DC6933">
        <w:rPr>
          <w:b/>
          <w:bCs/>
        </w:rPr>
        <w:t>:</w:t>
      </w:r>
    </w:p>
    <w:p w14:paraId="1CF16240" w14:textId="77777777" w:rsidR="00E82BB9" w:rsidRPr="00DC6933" w:rsidRDefault="00E82BB9" w:rsidP="00E82BB9">
      <w:pPr>
        <w:pStyle w:val="ListParagraph"/>
        <w:numPr>
          <w:ilvl w:val="0"/>
          <w:numId w:val="3"/>
        </w:numPr>
      </w:pPr>
      <w:r>
        <w:t>A summary for each analysed PI</w:t>
      </w:r>
      <w:r w:rsidRPr="00DC6933">
        <w:t>;</w:t>
      </w:r>
    </w:p>
    <w:p w14:paraId="7352F31C" w14:textId="77777777" w:rsidR="00E82BB9" w:rsidRPr="00DC6933" w:rsidRDefault="00E82BB9" w:rsidP="00E82BB9">
      <w:pPr>
        <w:pStyle w:val="ListParagraph"/>
        <w:numPr>
          <w:ilvl w:val="0"/>
          <w:numId w:val="3"/>
        </w:numPr>
      </w:pPr>
      <w:r>
        <w:t>Data prepared for the cumulative summary report in line with the planned content structure</w:t>
      </w:r>
      <w:r w:rsidRPr="00DC6933">
        <w:t>.</w:t>
      </w:r>
    </w:p>
    <w:p w14:paraId="50456C69" w14:textId="77777777" w:rsidR="00E82BB9" w:rsidRPr="00DC6933" w:rsidRDefault="00E82BB9" w:rsidP="00E82BB9"/>
    <w:p w14:paraId="125CE013" w14:textId="65666B28" w:rsidR="00E82BB9" w:rsidRDefault="00E82BB9" w:rsidP="00E82BB9">
      <w:r>
        <w:t xml:space="preserve">In his/her work on these tasks, the Consultant cooperates with the </w:t>
      </w:r>
      <w:r w:rsidR="00021B19" w:rsidRPr="00DC6933">
        <w:t>Consultant</w:t>
      </w:r>
      <w:r w:rsidR="00021B19">
        <w:t xml:space="preserve"> </w:t>
      </w:r>
      <w:r w:rsidR="00021B19" w:rsidRPr="00C171BA">
        <w:rPr>
          <w:lang w:val="sr-Cyrl-RS"/>
        </w:rPr>
        <w:t xml:space="preserve">for the preparation of methodology for the desk analysis of the </w:t>
      </w:r>
      <w:r w:rsidR="00021B19">
        <w:rPr>
          <w:lang w:val="sr-Latn-RS"/>
        </w:rPr>
        <w:t>PI</w:t>
      </w:r>
      <w:r w:rsidR="00021B19" w:rsidRPr="00C171BA">
        <w:rPr>
          <w:lang w:val="sr-Cyrl-RS"/>
        </w:rPr>
        <w:t xml:space="preserve"> self-evaluation reports for the year 202</w:t>
      </w:r>
      <w:r w:rsidR="00021B19" w:rsidRPr="00C171BA">
        <w:rPr>
          <w:lang w:val="sr-Latn-RS"/>
        </w:rPr>
        <w:t>2</w:t>
      </w:r>
      <w:r w:rsidR="00021B19" w:rsidRPr="00C171BA">
        <w:rPr>
          <w:lang w:val="sr-Cyrl-RS"/>
        </w:rPr>
        <w:t>/2</w:t>
      </w:r>
      <w:r w:rsidR="00021B19" w:rsidRPr="00C171BA">
        <w:rPr>
          <w:lang w:val="sr-Latn-RS"/>
        </w:rPr>
        <w:t>3</w:t>
      </w:r>
      <w:r w:rsidR="00021B19">
        <w:rPr>
          <w:lang w:val="sr-Latn-RS"/>
        </w:rPr>
        <w:t xml:space="preserve"> and the </w:t>
      </w:r>
      <w:r w:rsidR="00021B19">
        <w:t xml:space="preserve">Consultant </w:t>
      </w:r>
      <w:r w:rsidR="00021B19" w:rsidRPr="006441B6">
        <w:rPr>
          <w:lang w:val="sr-Cyrl-RS"/>
        </w:rPr>
        <w:t xml:space="preserve">for the desk analysis of the </w:t>
      </w:r>
      <w:r w:rsidR="00021B19">
        <w:rPr>
          <w:lang w:val="sr-Latn-RS"/>
        </w:rPr>
        <w:t>PI</w:t>
      </w:r>
      <w:r w:rsidR="00021B19" w:rsidRPr="006441B6">
        <w:rPr>
          <w:lang w:val="sr-Cyrl-RS"/>
        </w:rPr>
        <w:t xml:space="preserve"> self-evaluation reports for the year 202</w:t>
      </w:r>
      <w:r w:rsidR="00021B19" w:rsidRPr="006441B6">
        <w:rPr>
          <w:lang w:val="sr-Latn-RS"/>
        </w:rPr>
        <w:t>2</w:t>
      </w:r>
      <w:r w:rsidR="00021B19" w:rsidRPr="006441B6">
        <w:rPr>
          <w:lang w:val="sr-Cyrl-RS"/>
        </w:rPr>
        <w:t>/2</w:t>
      </w:r>
      <w:r w:rsidR="00021B19" w:rsidRPr="006441B6">
        <w:rPr>
          <w:lang w:val="sr-Latn-RS"/>
        </w:rPr>
        <w:t xml:space="preserve">3 (the </w:t>
      </w:r>
      <w:r w:rsidR="00021B19">
        <w:rPr>
          <w:lang w:val="sr-Latn-RS"/>
        </w:rPr>
        <w:t>first</w:t>
      </w:r>
      <w:r w:rsidR="00021B19" w:rsidRPr="006441B6">
        <w:rPr>
          <w:lang w:val="sr-Latn-RS"/>
        </w:rPr>
        <w:t xml:space="preserve"> group pf </w:t>
      </w:r>
      <w:r w:rsidR="00021B19">
        <w:rPr>
          <w:lang w:val="sr-Latn-RS"/>
        </w:rPr>
        <w:t>PI</w:t>
      </w:r>
      <w:r w:rsidR="00021B19" w:rsidRPr="006441B6">
        <w:rPr>
          <w:lang w:val="sr-Latn-RS"/>
        </w:rPr>
        <w:t>s)</w:t>
      </w:r>
      <w:r w:rsidR="00021B19">
        <w:rPr>
          <w:lang w:val="sr-Latn-RS"/>
        </w:rPr>
        <w:t>.</w:t>
      </w:r>
    </w:p>
    <w:p w14:paraId="100CE9E9" w14:textId="77777777" w:rsidR="00E82BB9" w:rsidRPr="00DC6933" w:rsidRDefault="00E82BB9" w:rsidP="00E82BB9"/>
    <w:p w14:paraId="5A763B2D" w14:textId="77777777" w:rsidR="00E82BB9" w:rsidRPr="00DC6933" w:rsidRDefault="00E82BB9" w:rsidP="00E82BB9">
      <w:pPr>
        <w:pStyle w:val="ListParagraph"/>
        <w:numPr>
          <w:ilvl w:val="0"/>
          <w:numId w:val="2"/>
        </w:numPr>
        <w:tabs>
          <w:tab w:val="left" w:pos="993"/>
        </w:tabs>
        <w:ind w:left="0" w:firstLine="0"/>
        <w:rPr>
          <w:b/>
        </w:rPr>
      </w:pPr>
      <w:r w:rsidRPr="00DC6933">
        <w:rPr>
          <w:b/>
        </w:rPr>
        <w:t>Reporting obligations</w:t>
      </w:r>
    </w:p>
    <w:p w14:paraId="04C91BA5" w14:textId="77777777" w:rsidR="00E82BB9" w:rsidRPr="00DC6933" w:rsidRDefault="00E82BB9" w:rsidP="00E82BB9">
      <w:pPr>
        <w:rPr>
          <w:b/>
        </w:rPr>
      </w:pPr>
    </w:p>
    <w:p w14:paraId="32364ACE" w14:textId="57693F0B" w:rsidR="00E82BB9" w:rsidRDefault="00E82BB9" w:rsidP="00E82BB9">
      <w:r w:rsidRPr="00DC6933">
        <w:t>The Consultant</w:t>
      </w:r>
      <w:r>
        <w:t xml:space="preserve"> </w:t>
      </w:r>
      <w:r w:rsidRPr="00C171BA">
        <w:rPr>
          <w:lang w:val="sr-Cyrl-RS"/>
        </w:rPr>
        <w:t xml:space="preserve">for the desk analysis of the </w:t>
      </w:r>
      <w:r>
        <w:rPr>
          <w:lang w:val="sr-Latn-RS"/>
        </w:rPr>
        <w:t>PI</w:t>
      </w:r>
      <w:r w:rsidRPr="00C171BA">
        <w:rPr>
          <w:lang w:val="sr-Cyrl-RS"/>
        </w:rPr>
        <w:t xml:space="preserve"> self-evaluation reports for the year 202</w:t>
      </w:r>
      <w:r w:rsidRPr="00C171BA">
        <w:rPr>
          <w:lang w:val="sr-Latn-RS"/>
        </w:rPr>
        <w:t>2</w:t>
      </w:r>
      <w:r w:rsidRPr="00C171BA">
        <w:rPr>
          <w:lang w:val="sr-Cyrl-RS"/>
        </w:rPr>
        <w:t>/2</w:t>
      </w:r>
      <w:r w:rsidRPr="00C171BA">
        <w:rPr>
          <w:lang w:val="sr-Latn-RS"/>
        </w:rPr>
        <w:t>3</w:t>
      </w:r>
      <w:r w:rsidR="00021B19">
        <w:rPr>
          <w:lang w:val="sr-Latn-RS"/>
        </w:rPr>
        <w:t xml:space="preserve"> </w:t>
      </w:r>
      <w:r w:rsidR="00021B19" w:rsidRPr="006441B6">
        <w:rPr>
          <w:lang w:val="sr-Latn-RS"/>
        </w:rPr>
        <w:t xml:space="preserve">(the </w:t>
      </w:r>
      <w:r w:rsidR="00021B19">
        <w:rPr>
          <w:lang w:val="sr-Latn-RS"/>
        </w:rPr>
        <w:t>second</w:t>
      </w:r>
      <w:r w:rsidR="00021B19" w:rsidRPr="006441B6">
        <w:rPr>
          <w:lang w:val="sr-Latn-RS"/>
        </w:rPr>
        <w:t xml:space="preserve"> group pf </w:t>
      </w:r>
      <w:r w:rsidR="00021B19">
        <w:rPr>
          <w:lang w:val="sr-Latn-RS"/>
        </w:rPr>
        <w:t>PI</w:t>
      </w:r>
      <w:r w:rsidR="00021B19" w:rsidRPr="006441B6">
        <w:rPr>
          <w:lang w:val="sr-Latn-RS"/>
        </w:rPr>
        <w:t>s)</w:t>
      </w:r>
      <w:r w:rsidR="00021B19" w:rsidRPr="00DC6933">
        <w:t xml:space="preserve"> </w:t>
      </w:r>
      <w:r w:rsidRPr="00DC6933">
        <w:t xml:space="preserve">is </w:t>
      </w:r>
      <w:r>
        <w:t xml:space="preserve">to work under the supervision and report directly to the coordinator of the ECEC Project Component 2, the </w:t>
      </w:r>
      <w:r w:rsidR="00021B19">
        <w:t xml:space="preserve">Client’s </w:t>
      </w:r>
      <w:r>
        <w:t>Component 2 focal point, and the contact-person in IEQE.</w:t>
      </w:r>
    </w:p>
    <w:p w14:paraId="67E08DB6" w14:textId="77777777" w:rsidR="00E82BB9" w:rsidRDefault="00E82BB9" w:rsidP="00E82BB9"/>
    <w:p w14:paraId="2CA966E5" w14:textId="6BAF9E27" w:rsidR="00E82BB9" w:rsidRDefault="00021B19" w:rsidP="00E82BB9">
      <w:r w:rsidRPr="00DC6933">
        <w:t>The Consultant</w:t>
      </w:r>
      <w:r>
        <w:t xml:space="preserve"> </w:t>
      </w:r>
      <w:r w:rsidRPr="00C171BA">
        <w:rPr>
          <w:lang w:val="sr-Cyrl-RS"/>
        </w:rPr>
        <w:t xml:space="preserve">for the desk analysis of the </w:t>
      </w:r>
      <w:r>
        <w:rPr>
          <w:lang w:val="sr-Latn-RS"/>
        </w:rPr>
        <w:t>PI</w:t>
      </w:r>
      <w:r w:rsidRPr="00C171BA">
        <w:rPr>
          <w:lang w:val="sr-Cyrl-RS"/>
        </w:rPr>
        <w:t xml:space="preserve"> self-evaluation reports for the year 202</w:t>
      </w:r>
      <w:r w:rsidRPr="00C171BA">
        <w:rPr>
          <w:lang w:val="sr-Latn-RS"/>
        </w:rPr>
        <w:t>2</w:t>
      </w:r>
      <w:r w:rsidRPr="00C171BA">
        <w:rPr>
          <w:lang w:val="sr-Cyrl-RS"/>
        </w:rPr>
        <w:t>/2</w:t>
      </w:r>
      <w:r w:rsidRPr="00C171BA">
        <w:rPr>
          <w:lang w:val="sr-Latn-RS"/>
        </w:rPr>
        <w:t>3</w:t>
      </w:r>
      <w:r>
        <w:rPr>
          <w:lang w:val="sr-Latn-RS"/>
        </w:rPr>
        <w:t xml:space="preserve"> </w:t>
      </w:r>
      <w:r w:rsidRPr="006441B6">
        <w:rPr>
          <w:lang w:val="sr-Latn-RS"/>
        </w:rPr>
        <w:t xml:space="preserve">(the </w:t>
      </w:r>
      <w:r>
        <w:rPr>
          <w:lang w:val="sr-Latn-RS"/>
        </w:rPr>
        <w:t>second</w:t>
      </w:r>
      <w:r w:rsidRPr="006441B6">
        <w:rPr>
          <w:lang w:val="sr-Latn-RS"/>
        </w:rPr>
        <w:t xml:space="preserve"> group pf </w:t>
      </w:r>
      <w:r>
        <w:rPr>
          <w:lang w:val="sr-Latn-RS"/>
        </w:rPr>
        <w:t>PI</w:t>
      </w:r>
      <w:r w:rsidRPr="006441B6">
        <w:rPr>
          <w:lang w:val="sr-Latn-RS"/>
        </w:rPr>
        <w:t>s)</w:t>
      </w:r>
      <w:r w:rsidR="00E82BB9" w:rsidRPr="00DC6933">
        <w:rPr>
          <w:lang w:val="sr-Latn-RS"/>
        </w:rPr>
        <w:t>,</w:t>
      </w:r>
      <w:r>
        <w:rPr>
          <w:lang w:val="sr-Latn-RS"/>
        </w:rPr>
        <w:t xml:space="preserve"> </w:t>
      </w:r>
      <w:r w:rsidRPr="00DC6933">
        <w:t>Consultant</w:t>
      </w:r>
      <w:r>
        <w:t xml:space="preserve"> </w:t>
      </w:r>
      <w:r w:rsidRPr="00C171BA">
        <w:rPr>
          <w:lang w:val="sr-Cyrl-RS"/>
        </w:rPr>
        <w:t xml:space="preserve">for the preparation of methodology for the desk analysis of the </w:t>
      </w:r>
      <w:r>
        <w:rPr>
          <w:lang w:val="sr-Latn-RS"/>
        </w:rPr>
        <w:t>PI</w:t>
      </w:r>
      <w:r w:rsidRPr="00C171BA">
        <w:rPr>
          <w:lang w:val="sr-Cyrl-RS"/>
        </w:rPr>
        <w:t xml:space="preserve"> self-evaluation reports for the year 202</w:t>
      </w:r>
      <w:r w:rsidRPr="00C171BA">
        <w:rPr>
          <w:lang w:val="sr-Latn-RS"/>
        </w:rPr>
        <w:t>2</w:t>
      </w:r>
      <w:r w:rsidRPr="00C171BA">
        <w:rPr>
          <w:lang w:val="sr-Cyrl-RS"/>
        </w:rPr>
        <w:t>/2</w:t>
      </w:r>
      <w:r w:rsidRPr="00C171BA">
        <w:rPr>
          <w:lang w:val="sr-Latn-RS"/>
        </w:rPr>
        <w:t>3</w:t>
      </w:r>
      <w:r>
        <w:rPr>
          <w:lang w:val="sr-Latn-RS"/>
        </w:rPr>
        <w:t xml:space="preserve"> and the </w:t>
      </w:r>
      <w:r>
        <w:t xml:space="preserve">Consultant </w:t>
      </w:r>
      <w:r w:rsidRPr="006441B6">
        <w:rPr>
          <w:lang w:val="sr-Cyrl-RS"/>
        </w:rPr>
        <w:t xml:space="preserve">for the desk analysis of the </w:t>
      </w:r>
      <w:r>
        <w:rPr>
          <w:lang w:val="sr-Latn-RS"/>
        </w:rPr>
        <w:t>PI</w:t>
      </w:r>
      <w:r w:rsidRPr="006441B6">
        <w:rPr>
          <w:lang w:val="sr-Cyrl-RS"/>
        </w:rPr>
        <w:t xml:space="preserve"> self-evaluation reports for the year 202</w:t>
      </w:r>
      <w:r w:rsidRPr="006441B6">
        <w:rPr>
          <w:lang w:val="sr-Latn-RS"/>
        </w:rPr>
        <w:t>2</w:t>
      </w:r>
      <w:r w:rsidRPr="006441B6">
        <w:rPr>
          <w:lang w:val="sr-Cyrl-RS"/>
        </w:rPr>
        <w:t>/2</w:t>
      </w:r>
      <w:r w:rsidRPr="006441B6">
        <w:rPr>
          <w:lang w:val="sr-Latn-RS"/>
        </w:rPr>
        <w:t xml:space="preserve">3 (the </w:t>
      </w:r>
      <w:r>
        <w:rPr>
          <w:lang w:val="sr-Latn-RS"/>
        </w:rPr>
        <w:t>first</w:t>
      </w:r>
      <w:r w:rsidRPr="006441B6">
        <w:rPr>
          <w:lang w:val="sr-Latn-RS"/>
        </w:rPr>
        <w:t xml:space="preserve"> group pf </w:t>
      </w:r>
      <w:r>
        <w:rPr>
          <w:lang w:val="sr-Latn-RS"/>
        </w:rPr>
        <w:t>PI</w:t>
      </w:r>
      <w:r w:rsidRPr="006441B6">
        <w:rPr>
          <w:lang w:val="sr-Latn-RS"/>
        </w:rPr>
        <w:t>s)</w:t>
      </w:r>
      <w:r>
        <w:rPr>
          <w:lang w:val="sr-Latn-RS"/>
        </w:rPr>
        <w:t>,</w:t>
      </w:r>
      <w:r w:rsidR="00E82BB9" w:rsidRPr="00DC6933">
        <w:rPr>
          <w:lang w:val="sr-Latn-RS"/>
        </w:rPr>
        <w:t xml:space="preserve"> the PMU</w:t>
      </w:r>
      <w:r w:rsidR="00E82BB9">
        <w:rPr>
          <w:lang w:val="sr-Latn-RS"/>
        </w:rPr>
        <w:t xml:space="preserve">, the </w:t>
      </w:r>
      <w:r>
        <w:rPr>
          <w:lang w:val="sr-Latn-RS"/>
        </w:rPr>
        <w:t xml:space="preserve">Client’s </w:t>
      </w:r>
      <w:r w:rsidR="00E82BB9">
        <w:rPr>
          <w:lang w:val="sr-Latn-RS"/>
        </w:rPr>
        <w:t>Group for Preschool Education</w:t>
      </w:r>
      <w:r>
        <w:rPr>
          <w:lang w:val="sr-Latn-RS"/>
        </w:rPr>
        <w:t xml:space="preserve">, </w:t>
      </w:r>
      <w:r w:rsidR="00E82BB9">
        <w:rPr>
          <w:lang w:val="sr-Latn-RS"/>
        </w:rPr>
        <w:t>and IEQE representative</w:t>
      </w:r>
      <w:r w:rsidR="00E82BB9" w:rsidRPr="00DC6933">
        <w:rPr>
          <w:lang w:val="sr-Latn-RS"/>
        </w:rPr>
        <w:t xml:space="preserve"> will hold regular periodical meetings, or more often if needed, so as to secure smooth and successful cooperation. The activities will be carried out on the basis of the plan approved by the Component 2 Coordinator and PMU Director. The quality of </w:t>
      </w:r>
      <w:r w:rsidR="00E82BB9">
        <w:rPr>
          <w:lang w:val="sr-Latn-RS"/>
        </w:rPr>
        <w:t>deliverables</w:t>
      </w:r>
      <w:r w:rsidR="00E82BB9" w:rsidRPr="00DC6933">
        <w:rPr>
          <w:lang w:val="sr-Latn-RS"/>
        </w:rPr>
        <w:t xml:space="preserve"> will be evaluated by the </w:t>
      </w:r>
      <w:r>
        <w:rPr>
          <w:lang w:val="sr-Latn-RS"/>
        </w:rPr>
        <w:t>Client</w:t>
      </w:r>
      <w:r w:rsidR="00E82BB9">
        <w:rPr>
          <w:lang w:val="sr-Latn-RS"/>
        </w:rPr>
        <w:t xml:space="preserve"> and IEQE a</w:t>
      </w:r>
      <w:r w:rsidR="00E82BB9" w:rsidRPr="00DC6933">
        <w:rPr>
          <w:lang w:val="sr-Latn-RS"/>
        </w:rPr>
        <w:t xml:space="preserve">nd approved by the Component 2 Coordinator and the PMU Director. The Consultant will submit to </w:t>
      </w:r>
      <w:r>
        <w:rPr>
          <w:lang w:val="sr-Latn-RS"/>
        </w:rPr>
        <w:t>the Client</w:t>
      </w:r>
      <w:r w:rsidR="00E82BB9" w:rsidRPr="00DC6933">
        <w:rPr>
          <w:lang w:val="sr-Latn-RS"/>
        </w:rPr>
        <w:t xml:space="preserve"> and PMU periodical quarterly progress reports.</w:t>
      </w:r>
      <w:r w:rsidR="00E82BB9" w:rsidRPr="00DC6933">
        <w:t xml:space="preserve"> </w:t>
      </w:r>
    </w:p>
    <w:p w14:paraId="79DD289E" w14:textId="77777777" w:rsidR="00E82BB9" w:rsidRPr="00DC6933" w:rsidRDefault="00E82BB9" w:rsidP="00E82BB9"/>
    <w:p w14:paraId="346C35E7" w14:textId="77777777" w:rsidR="00E82BB9" w:rsidRPr="00DC6933" w:rsidRDefault="00E82BB9" w:rsidP="00E82BB9">
      <w:pPr>
        <w:pStyle w:val="ListParagraph"/>
        <w:numPr>
          <w:ilvl w:val="0"/>
          <w:numId w:val="2"/>
        </w:numPr>
        <w:tabs>
          <w:tab w:val="left" w:pos="993"/>
        </w:tabs>
        <w:ind w:left="0" w:firstLine="0"/>
        <w:rPr>
          <w:b/>
        </w:rPr>
      </w:pPr>
      <w:r w:rsidRPr="00DC6933">
        <w:rPr>
          <w:b/>
        </w:rPr>
        <w:t xml:space="preserve">Consultant’s Qualifications </w:t>
      </w:r>
    </w:p>
    <w:p w14:paraId="365CA62D" w14:textId="77777777" w:rsidR="00E82BB9" w:rsidRPr="00DC6933" w:rsidRDefault="00E82BB9" w:rsidP="00E82BB9">
      <w:pPr>
        <w:rPr>
          <w:b/>
        </w:rPr>
      </w:pPr>
    </w:p>
    <w:p w14:paraId="1B5FDC39" w14:textId="77777777" w:rsidR="00E82BB9" w:rsidRPr="00DC6933" w:rsidRDefault="00E82BB9" w:rsidP="00E82BB9">
      <w:pPr>
        <w:pStyle w:val="ListParagraph"/>
        <w:numPr>
          <w:ilvl w:val="0"/>
          <w:numId w:val="1"/>
        </w:numPr>
        <w:contextualSpacing w:val="0"/>
      </w:pPr>
      <w:r>
        <w:t>University Degree in p</w:t>
      </w:r>
      <w:r w:rsidRPr="00DC6933">
        <w:t>edagogy</w:t>
      </w:r>
      <w:r>
        <w:t>, psychology, sociology or other pedagogical and social science disciplines</w:t>
      </w:r>
      <w:r w:rsidRPr="00DC6933">
        <w:t>;</w:t>
      </w:r>
    </w:p>
    <w:p w14:paraId="4790424F" w14:textId="77777777" w:rsidR="00E82BB9" w:rsidRPr="00DC6933" w:rsidRDefault="00E82BB9" w:rsidP="00E82BB9">
      <w:pPr>
        <w:pStyle w:val="ListParagraph"/>
        <w:numPr>
          <w:ilvl w:val="0"/>
          <w:numId w:val="1"/>
        </w:numPr>
        <w:contextualSpacing w:val="0"/>
      </w:pPr>
      <w:r w:rsidRPr="00DC6933">
        <w:t xml:space="preserve">At least </w:t>
      </w:r>
      <w:r>
        <w:t>3</w:t>
      </w:r>
      <w:r w:rsidRPr="00DC6933">
        <w:t xml:space="preserve"> (</w:t>
      </w:r>
      <w:r>
        <w:t>three</w:t>
      </w:r>
      <w:r w:rsidRPr="00DC6933">
        <w:t xml:space="preserve">) years of work experience in educating </w:t>
      </w:r>
      <w:r>
        <w:t>policy and practice in the Republic of Serbia</w:t>
      </w:r>
      <w:r w:rsidRPr="00DC6933">
        <w:t>;</w:t>
      </w:r>
    </w:p>
    <w:p w14:paraId="044CB51B" w14:textId="77777777" w:rsidR="00E82BB9" w:rsidRDefault="00E82BB9" w:rsidP="00E82BB9">
      <w:pPr>
        <w:pStyle w:val="ListParagraph"/>
        <w:numPr>
          <w:ilvl w:val="0"/>
          <w:numId w:val="1"/>
        </w:numPr>
        <w:contextualSpacing w:val="0"/>
      </w:pPr>
      <w:r>
        <w:t>Experience in conducting research in the area of education is preferable;</w:t>
      </w:r>
    </w:p>
    <w:p w14:paraId="0DCC8F93" w14:textId="77777777" w:rsidR="00E82BB9" w:rsidRPr="00DC6933" w:rsidRDefault="00E82BB9" w:rsidP="00E82BB9">
      <w:pPr>
        <w:pStyle w:val="ListParagraph"/>
        <w:numPr>
          <w:ilvl w:val="0"/>
          <w:numId w:val="1"/>
        </w:numPr>
        <w:contextualSpacing w:val="0"/>
      </w:pPr>
      <w:r>
        <w:t>Thorough knowledge of the preschool education system and the relevant initiatives in the field, including quality evaluation in education is considered a plus</w:t>
      </w:r>
      <w:r w:rsidRPr="00DC6933">
        <w:t>;</w:t>
      </w:r>
    </w:p>
    <w:p w14:paraId="7BACA7CE" w14:textId="77777777" w:rsidR="00E82BB9" w:rsidRPr="00DC6933" w:rsidRDefault="00E82BB9" w:rsidP="00E82BB9">
      <w:pPr>
        <w:pStyle w:val="ListParagraph"/>
        <w:numPr>
          <w:ilvl w:val="0"/>
          <w:numId w:val="1"/>
        </w:numPr>
        <w:contextualSpacing w:val="0"/>
      </w:pPr>
      <w:r>
        <w:t>Experience in conducting trainings and providing mentoring support to PIs in the self-evaluation process is preferable</w:t>
      </w:r>
      <w:r w:rsidRPr="00DC6933">
        <w:t>;</w:t>
      </w:r>
    </w:p>
    <w:p w14:paraId="29AE8CE3" w14:textId="77777777" w:rsidR="00E82BB9" w:rsidRDefault="00E82BB9" w:rsidP="00E82BB9">
      <w:pPr>
        <w:pStyle w:val="ListParagraph"/>
        <w:numPr>
          <w:ilvl w:val="0"/>
          <w:numId w:val="1"/>
        </w:numPr>
        <w:contextualSpacing w:val="0"/>
      </w:pPr>
      <w:r w:rsidRPr="00DC6933">
        <w:t>Knowledge of the regulatory framework in the field of education, especially preschool education</w:t>
      </w:r>
      <w:r>
        <w:t>, is a plus.</w:t>
      </w:r>
    </w:p>
    <w:p w14:paraId="285FAE78" w14:textId="77777777" w:rsidR="00E82BB9" w:rsidRDefault="00E82BB9" w:rsidP="00E82BB9">
      <w:pPr>
        <w:pStyle w:val="ListParagraph"/>
        <w:contextualSpacing w:val="0"/>
      </w:pPr>
    </w:p>
    <w:p w14:paraId="79B4E870" w14:textId="77777777" w:rsidR="00E82BB9" w:rsidRPr="0044517A" w:rsidRDefault="00E82BB9" w:rsidP="00E82BB9">
      <w:pPr>
        <w:rPr>
          <w:b/>
          <w:bCs/>
          <w:shd w:val="clear" w:color="auto" w:fill="FDFDFD"/>
        </w:rPr>
      </w:pPr>
      <w:r w:rsidRPr="0044517A">
        <w:rPr>
          <w:b/>
          <w:bCs/>
          <w:shd w:val="clear" w:color="auto" w:fill="FDFDFD"/>
        </w:rPr>
        <w:t>V</w:t>
      </w:r>
      <w:r>
        <w:rPr>
          <w:b/>
          <w:bCs/>
          <w:shd w:val="clear" w:color="auto" w:fill="FDFDFD"/>
        </w:rPr>
        <w:t>I</w:t>
      </w:r>
      <w:r w:rsidRPr="0044517A">
        <w:rPr>
          <w:b/>
          <w:bCs/>
          <w:shd w:val="clear" w:color="auto" w:fill="FDFDFD"/>
        </w:rPr>
        <w:t xml:space="preserve">. Duration of the </w:t>
      </w:r>
      <w:r>
        <w:rPr>
          <w:b/>
          <w:bCs/>
          <w:shd w:val="clear" w:color="auto" w:fill="FDFDFD"/>
        </w:rPr>
        <w:t>A</w:t>
      </w:r>
      <w:r w:rsidRPr="0044517A">
        <w:rPr>
          <w:b/>
          <w:bCs/>
          <w:shd w:val="clear" w:color="auto" w:fill="FDFDFD"/>
        </w:rPr>
        <w:t>ssignment</w:t>
      </w:r>
    </w:p>
    <w:p w14:paraId="2C460F65" w14:textId="77777777" w:rsidR="00E82BB9" w:rsidRDefault="00E82BB9" w:rsidP="00E82BB9">
      <w:pPr>
        <w:rPr>
          <w:shd w:val="clear" w:color="auto" w:fill="FDFDFD"/>
        </w:rPr>
      </w:pPr>
    </w:p>
    <w:p w14:paraId="44D2A20E" w14:textId="0BB03467" w:rsidR="009F6D0E" w:rsidRDefault="00E82BB9" w:rsidP="00E82BB9">
      <w:pPr>
        <w:rPr>
          <w:bCs/>
        </w:rPr>
      </w:pPr>
      <w:r>
        <w:rPr>
          <w:shd w:val="clear" w:color="auto" w:fill="FDFDFD"/>
        </w:rPr>
        <w:t>The Consultant is to provide part-time services under the lump-sum contract, payable</w:t>
      </w:r>
      <w:r w:rsidRPr="0044517A">
        <w:rPr>
          <w:bCs/>
        </w:rPr>
        <w:t xml:space="preserve"> </w:t>
      </w:r>
      <w:r>
        <w:rPr>
          <w:bCs/>
        </w:rPr>
        <w:t xml:space="preserve">upon the production of deliverables. The estimated number of working hours for the Consultant is 22 (twenty-two) working days in 4 (four) months (one working day is 8 (eight) working hours at the most). </w:t>
      </w:r>
      <w:r w:rsidR="00021B19">
        <w:rPr>
          <w:bCs/>
        </w:rPr>
        <w:t>The expected start of the engagement is February 2024. The Contract will become effective once the Inclusive Early Childhood Education and Care Project is extended.</w:t>
      </w:r>
    </w:p>
    <w:p w14:paraId="52DD3C39" w14:textId="77777777" w:rsidR="00021B19" w:rsidRDefault="00021B19" w:rsidP="00E82BB9">
      <w:pPr>
        <w:rPr>
          <w:bCs/>
        </w:rPr>
      </w:pPr>
    </w:p>
    <w:p w14:paraId="43EEBDF2" w14:textId="77777777" w:rsidR="00E82BB9" w:rsidRPr="00DC6933" w:rsidRDefault="00E82BB9" w:rsidP="00E82BB9">
      <w:pPr>
        <w:rPr>
          <w:b/>
        </w:rPr>
      </w:pPr>
      <w:r w:rsidRPr="00DC6933">
        <w:rPr>
          <w:b/>
        </w:rPr>
        <w:t>V</w:t>
      </w:r>
      <w:r>
        <w:rPr>
          <w:b/>
        </w:rPr>
        <w:t>I</w:t>
      </w:r>
      <w:r w:rsidRPr="00DC6933">
        <w:rPr>
          <w:b/>
        </w:rPr>
        <w:t>I.</w:t>
      </w:r>
      <w:r w:rsidRPr="00DC6933">
        <w:rPr>
          <w:b/>
        </w:rPr>
        <w:tab/>
        <w:t>Selection Method</w:t>
      </w:r>
    </w:p>
    <w:p w14:paraId="38F9D5E4" w14:textId="77777777" w:rsidR="00E82BB9" w:rsidRPr="00DC6933" w:rsidRDefault="00E82BB9" w:rsidP="00E82BB9"/>
    <w:p w14:paraId="638F51A9" w14:textId="41D140A8" w:rsidR="00E82BB9" w:rsidRPr="00DC6933" w:rsidRDefault="00E82BB9" w:rsidP="00E82BB9">
      <w:r w:rsidRPr="00DC6933">
        <w:t xml:space="preserve">The selection method is </w:t>
      </w:r>
      <w:r w:rsidR="00021B19">
        <w:t>Individual Consultant</w:t>
      </w:r>
      <w:r w:rsidR="00021B19" w:rsidRPr="00DC6933">
        <w:t xml:space="preserve"> </w:t>
      </w:r>
      <w:r w:rsidR="00021B19" w:rsidRPr="00DC6933">
        <w:rPr>
          <w:lang w:val="sr-Latn-RS"/>
        </w:rPr>
        <w:t>(</w:t>
      </w:r>
      <w:r w:rsidR="00021B19">
        <w:rPr>
          <w:lang w:val="sr-Latn-RS"/>
        </w:rPr>
        <w:t>I</w:t>
      </w:r>
      <w:r w:rsidR="00021B19" w:rsidRPr="00DC6933">
        <w:rPr>
          <w:lang w:val="sr-Latn-RS"/>
        </w:rPr>
        <w:t>C)</w:t>
      </w:r>
      <w:r w:rsidR="00021B19" w:rsidRPr="00DC6933">
        <w:rPr>
          <w:bCs/>
          <w:lang w:val="en-GB" w:eastAsia="hr-HR"/>
        </w:rPr>
        <w:t>,</w:t>
      </w:r>
      <w:r w:rsidR="00021B19" w:rsidRPr="00DC6933">
        <w:rPr>
          <w:bCs/>
          <w:lang w:eastAsia="hr-HR"/>
        </w:rPr>
        <w:t xml:space="preserve"> </w:t>
      </w:r>
      <w:r w:rsidRPr="00DC6933">
        <w:t xml:space="preserve">in accordance with the procedures specified in </w:t>
      </w:r>
      <w:r w:rsidRPr="00DC6933">
        <w:rPr>
          <w:i/>
          <w:iCs/>
        </w:rPr>
        <w:t>the Guidelines: Selection and Employment of Consultants under IBRD Loans and IDA Credits &amp; Grants by the World Bank Borrowers</w:t>
      </w:r>
      <w:r w:rsidRPr="00DC6933">
        <w:t>, January 2011 (revised July 2014).</w:t>
      </w:r>
    </w:p>
    <w:p w14:paraId="0C3CA554" w14:textId="77777777" w:rsidR="00E82BB9" w:rsidRPr="00DC6933" w:rsidRDefault="00E82BB9" w:rsidP="00E82BB9"/>
    <w:p w14:paraId="0D9F2E55" w14:textId="77777777" w:rsidR="00E82BB9" w:rsidRPr="00DC6933" w:rsidRDefault="00E82BB9" w:rsidP="00E82BB9">
      <w:pPr>
        <w:rPr>
          <w:b/>
        </w:rPr>
      </w:pPr>
      <w:r w:rsidRPr="00DC6933">
        <w:rPr>
          <w:b/>
        </w:rPr>
        <w:t>VI</w:t>
      </w:r>
      <w:r>
        <w:rPr>
          <w:b/>
        </w:rPr>
        <w:t>I</w:t>
      </w:r>
      <w:r w:rsidRPr="00DC6933">
        <w:rPr>
          <w:b/>
        </w:rPr>
        <w:t>I.</w:t>
      </w:r>
      <w:r w:rsidRPr="00DC6933">
        <w:rPr>
          <w:b/>
        </w:rPr>
        <w:tab/>
        <w:t>Payment Conditions</w:t>
      </w:r>
    </w:p>
    <w:p w14:paraId="2EC129CD" w14:textId="77777777" w:rsidR="00E82BB9" w:rsidRPr="00DC6933" w:rsidRDefault="00E82BB9" w:rsidP="00E82BB9">
      <w:pPr>
        <w:rPr>
          <w:bCs/>
        </w:rPr>
      </w:pPr>
    </w:p>
    <w:p w14:paraId="436D7CC8" w14:textId="7489ACEF" w:rsidR="00E82BB9" w:rsidRPr="00DC6933" w:rsidRDefault="00E82BB9" w:rsidP="00E82BB9">
      <w:pPr>
        <w:rPr>
          <w:bCs/>
        </w:rPr>
      </w:pPr>
      <w:r w:rsidRPr="00DC6933">
        <w:rPr>
          <w:bCs/>
        </w:rPr>
        <w:t>The text of the Contract will be a standard World Bank lump-sum contract for small-scale assignments. The payment will be made upon the produced deliverables / submitted reports, subject to the approval of the Component 2 Coordinator and the PMU Director</w:t>
      </w:r>
      <w:r>
        <w:rPr>
          <w:bCs/>
        </w:rPr>
        <w:t xml:space="preserve">, after the deliverables are accepted and approved by the </w:t>
      </w:r>
      <w:r w:rsidR="00021B19">
        <w:rPr>
          <w:bCs/>
        </w:rPr>
        <w:t xml:space="preserve">Client’s </w:t>
      </w:r>
      <w:r>
        <w:rPr>
          <w:bCs/>
        </w:rPr>
        <w:t xml:space="preserve">Group for Preschool Education of the </w:t>
      </w:r>
      <w:r w:rsidR="00CD7E0E">
        <w:rPr>
          <w:bCs/>
        </w:rPr>
        <w:t>the Client</w:t>
      </w:r>
      <w:r>
        <w:rPr>
          <w:bCs/>
        </w:rPr>
        <w:t xml:space="preserve"> and IEQE</w:t>
      </w:r>
      <w:r w:rsidRPr="00DC6933">
        <w:rPr>
          <w:bCs/>
        </w:rPr>
        <w:t>. The contracted amount will include remuneration and reimbursable expenses related to the contracted tasks.</w:t>
      </w:r>
    </w:p>
    <w:p w14:paraId="5A58E04B" w14:textId="77777777" w:rsidR="00E82BB9" w:rsidRPr="00DC6933" w:rsidRDefault="00E82BB9" w:rsidP="00E82BB9">
      <w:pPr>
        <w:rPr>
          <w:bCs/>
        </w:rPr>
      </w:pPr>
    </w:p>
    <w:p w14:paraId="1EA17CB5" w14:textId="77777777" w:rsidR="00E82BB9" w:rsidRPr="00DC6933" w:rsidRDefault="00E82BB9" w:rsidP="00E82BB9">
      <w:pPr>
        <w:rPr>
          <w:b/>
        </w:rPr>
      </w:pPr>
      <w:r>
        <w:rPr>
          <w:b/>
        </w:rPr>
        <w:t>IX</w:t>
      </w:r>
      <w:r w:rsidRPr="00DC6933">
        <w:rPr>
          <w:b/>
        </w:rPr>
        <w:t xml:space="preserve">. Conflict of Interest </w:t>
      </w:r>
    </w:p>
    <w:p w14:paraId="3439EEF7" w14:textId="77777777" w:rsidR="00E82BB9" w:rsidRPr="00DC6933" w:rsidRDefault="00E82BB9" w:rsidP="00E82BB9"/>
    <w:p w14:paraId="2D9150F3" w14:textId="77777777" w:rsidR="00E82BB9" w:rsidRPr="00DC6933" w:rsidRDefault="00E82BB9" w:rsidP="00E82BB9">
      <w:pPr>
        <w:rPr>
          <w:noProof/>
        </w:rPr>
      </w:pPr>
      <w:r w:rsidRPr="00DC6933">
        <w:rPr>
          <w:noProof/>
        </w:rPr>
        <w:t>The Consultant shall not be involved in other activities under the ECEC Project.</w:t>
      </w:r>
    </w:p>
    <w:p w14:paraId="3ADB3E3D" w14:textId="77777777" w:rsidR="00E82BB9" w:rsidRPr="00DC6933" w:rsidRDefault="00E82BB9" w:rsidP="00E82BB9"/>
    <w:p w14:paraId="07EF7A56" w14:textId="77777777" w:rsidR="00E82BB9" w:rsidRPr="00DC6933" w:rsidRDefault="00E82BB9" w:rsidP="00E82BB9"/>
    <w:bookmarkEnd w:id="0"/>
    <w:p w14:paraId="0934F65C" w14:textId="77777777" w:rsidR="00E82BB9" w:rsidRDefault="00E82BB9" w:rsidP="00E82BB9"/>
    <w:p w14:paraId="0B108E4F" w14:textId="77777777" w:rsidR="00076E68" w:rsidRPr="00E82BB9" w:rsidRDefault="00076E68" w:rsidP="00E82BB9"/>
    <w:sectPr w:rsidR="00076E68" w:rsidRPr="00E82B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F20A8" w14:textId="77777777" w:rsidR="00A9524E" w:rsidRDefault="00A9524E" w:rsidP="00E82BB9">
      <w:r>
        <w:separator/>
      </w:r>
    </w:p>
  </w:endnote>
  <w:endnote w:type="continuationSeparator" w:id="0">
    <w:p w14:paraId="1B69BB50" w14:textId="77777777" w:rsidR="00A9524E" w:rsidRDefault="00A9524E" w:rsidP="00E8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EF81B" w14:textId="77777777" w:rsidR="00A9524E" w:rsidRDefault="00A9524E" w:rsidP="00E82BB9">
      <w:r>
        <w:separator/>
      </w:r>
    </w:p>
  </w:footnote>
  <w:footnote w:type="continuationSeparator" w:id="0">
    <w:p w14:paraId="5A8B1A75" w14:textId="77777777" w:rsidR="00A9524E" w:rsidRDefault="00A9524E" w:rsidP="00E82BB9">
      <w:r>
        <w:continuationSeparator/>
      </w:r>
    </w:p>
  </w:footnote>
  <w:footnote w:id="1">
    <w:p w14:paraId="4FDBD4FA" w14:textId="77777777" w:rsidR="00E82BB9" w:rsidRPr="00743D53" w:rsidRDefault="00E82BB9" w:rsidP="00E82BB9">
      <w:pPr>
        <w:pStyle w:val="FootnoteText"/>
        <w:rPr>
          <w:sz w:val="24"/>
          <w:szCs w:val="24"/>
          <w:lang w:val="sr-Latn-RS"/>
        </w:rPr>
      </w:pPr>
      <w:r w:rsidRPr="00743D53">
        <w:rPr>
          <w:rStyle w:val="FootnoteReference"/>
          <w:sz w:val="24"/>
          <w:szCs w:val="24"/>
        </w:rPr>
        <w:footnoteRef/>
      </w:r>
      <w:r w:rsidRPr="00743D53">
        <w:rPr>
          <w:sz w:val="24"/>
          <w:szCs w:val="24"/>
        </w:rPr>
        <w:t xml:space="preserve"> </w:t>
      </w:r>
      <w:r w:rsidRPr="00DC6933">
        <w:t>So far, a</w:t>
      </w:r>
      <w:r w:rsidRPr="00DC6933">
        <w:rPr>
          <w:lang w:val="sr-Latn-RS"/>
        </w:rPr>
        <w:t xml:space="preserve"> research on current self-evaluation practices in PIs has been conducted; the Report on the evaluation of self-evaluation practice has been prepared; self-evaluation resources for PIs have been developed: suggested instruments</w:t>
      </w:r>
      <w:r w:rsidRPr="00DC6933">
        <w:rPr>
          <w:lang w:val="sr-Cyrl-RS"/>
        </w:rPr>
        <w:t xml:space="preserve"> (</w:t>
      </w:r>
      <w:r w:rsidRPr="00DC6933">
        <w:rPr>
          <w:lang w:val="sr-Latn-RS"/>
        </w:rPr>
        <w:t>check-lists</w:t>
      </w:r>
      <w:r w:rsidRPr="00DC6933">
        <w:rPr>
          <w:lang w:val="sr-Cyrl-RS"/>
        </w:rPr>
        <w:t>,</w:t>
      </w:r>
      <w:r w:rsidRPr="00DC6933">
        <w:rPr>
          <w:lang w:val="sr-Latn-RS"/>
        </w:rPr>
        <w:t xml:space="preserve"> questionnaires</w:t>
      </w:r>
      <w:r w:rsidRPr="00DC6933">
        <w:rPr>
          <w:lang w:val="sr-Cyrl-RS"/>
        </w:rPr>
        <w:t xml:space="preserve">, </w:t>
      </w:r>
      <w:r w:rsidRPr="00DC6933">
        <w:rPr>
          <w:lang w:val="sr-Latn-RS"/>
        </w:rPr>
        <w:t>focus groups / interviews questions, suggested questions for consulting with children)</w:t>
      </w:r>
      <w:r w:rsidRPr="00DC6933">
        <w:rPr>
          <w:lang w:val="sr-Cyrl-RS"/>
        </w:rPr>
        <w:t xml:space="preserve">; </w:t>
      </w:r>
      <w:r w:rsidRPr="00DC6933">
        <w:rPr>
          <w:lang w:val="sr-Latn-RS"/>
        </w:rPr>
        <w:t>electronic instruments have been made available on the IEQE website</w:t>
      </w:r>
      <w:r w:rsidRPr="00DC6933">
        <w:rPr>
          <w:lang w:val="sr-Cyrl-RS"/>
        </w:rPr>
        <w:t xml:space="preserve">; </w:t>
      </w:r>
      <w:r w:rsidRPr="00DC6933">
        <w:rPr>
          <w:lang w:val="sr-Latn-RS"/>
        </w:rPr>
        <w:t>self-evaluation instruments have been piloted; a guidebook titled Self-Evaluation in PIs – A Guide for PI Staff has been written, printed, and distributed</w:t>
      </w:r>
      <w:r w:rsidRPr="00DC6933">
        <w:rPr>
          <w:lang w:val="sr-Cyrl-RS"/>
        </w:rPr>
        <w:t xml:space="preserve">; </w:t>
      </w:r>
      <w:r w:rsidRPr="00DC6933">
        <w:rPr>
          <w:lang w:val="sr-Latn-RS"/>
        </w:rPr>
        <w:t>single-day trainings for self-evaluation teams from all PIs, educational advisors and external evaluators have been provided</w:t>
      </w:r>
      <w:r w:rsidRPr="00DC6933">
        <w:rPr>
          <w:lang w:val="sr-Cyrl-RS"/>
        </w:rPr>
        <w:t xml:space="preserve"> (600 </w:t>
      </w:r>
      <w:r w:rsidRPr="00DC6933">
        <w:rPr>
          <w:lang w:val="sr-Latn-RS"/>
        </w:rPr>
        <w:t>participants</w:t>
      </w:r>
      <w:r w:rsidRPr="00DC6933">
        <w:rPr>
          <w:lang w:val="sr-Cyrl-RS"/>
        </w:rPr>
        <w:t>)</w:t>
      </w:r>
      <w:r w:rsidRPr="00DC6933">
        <w:rPr>
          <w:lang w:val="sr-Latn-RS"/>
        </w:rPr>
        <w:t>; a nine-month mentoring support has been provided to all the public PIs</w:t>
      </w:r>
      <w:r w:rsidRPr="00DC6933">
        <w:rPr>
          <w:lang w:val="sr-Cyrl-RS"/>
        </w:rPr>
        <w:t xml:space="preserve"> (</w:t>
      </w:r>
      <w:r w:rsidRPr="00DC6933">
        <w:rPr>
          <w:lang w:val="sr-Latn-RS"/>
        </w:rPr>
        <w:t>available throughout the whole self-evaluation process in the year</w:t>
      </w:r>
      <w:r w:rsidRPr="00DC6933">
        <w:rPr>
          <w:lang w:val="sr-Cyrl-RS"/>
        </w:rPr>
        <w:t xml:space="preserve"> 2022/23; </w:t>
      </w:r>
      <w:r w:rsidRPr="00DC6933">
        <w:rPr>
          <w:lang w:val="sr-Latn-RS"/>
        </w:rPr>
        <w:t xml:space="preserve">the Report on the provided mentoring support to PIs in the self-evaluation process has been prepared; good self-evaluation practice examples have been collected and prepared for </w:t>
      </w:r>
      <w:r w:rsidRPr="00DC6933">
        <w:rPr>
          <w:lang w:val="sr-Cyrl-RS"/>
        </w:rPr>
        <w:t xml:space="preserve"> </w:t>
      </w:r>
      <w:r w:rsidRPr="00DC6933">
        <w:rPr>
          <w:lang w:val="sr-Latn-RS"/>
        </w:rPr>
        <w:t>publishing on the Learning Passport platform.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D5244"/>
    <w:multiLevelType w:val="hybridMultilevel"/>
    <w:tmpl w:val="A8A66554"/>
    <w:lvl w:ilvl="0" w:tplc="D9AC1352">
      <w:start w:val="3"/>
      <w:numFmt w:val="bullet"/>
      <w:lvlText w:val="-"/>
      <w:lvlJc w:val="left"/>
      <w:pPr>
        <w:ind w:left="1440" w:hanging="360"/>
      </w:pPr>
      <w:rPr>
        <w:rFonts w:ascii="Times New Roman" w:eastAsia="Times New Roman"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 w15:restartNumberingAfterBreak="0">
    <w:nsid w:val="28020A67"/>
    <w:multiLevelType w:val="hybridMultilevel"/>
    <w:tmpl w:val="8F5C3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2364E7"/>
    <w:multiLevelType w:val="hybridMultilevel"/>
    <w:tmpl w:val="6C046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BA2442"/>
    <w:multiLevelType w:val="hybridMultilevel"/>
    <w:tmpl w:val="64769D58"/>
    <w:lvl w:ilvl="0" w:tplc="D9AC1352">
      <w:start w:val="3"/>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35350041"/>
    <w:multiLevelType w:val="hybridMultilevel"/>
    <w:tmpl w:val="7B1ECF44"/>
    <w:lvl w:ilvl="0" w:tplc="3D0687A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600A3E"/>
    <w:multiLevelType w:val="hybridMultilevel"/>
    <w:tmpl w:val="0EF04FD2"/>
    <w:lvl w:ilvl="0" w:tplc="D9AC1352">
      <w:start w:val="3"/>
      <w:numFmt w:val="bullet"/>
      <w:lvlText w:val="-"/>
      <w:lvlJc w:val="left"/>
      <w:pPr>
        <w:ind w:left="1440" w:hanging="360"/>
      </w:pPr>
      <w:rPr>
        <w:rFonts w:ascii="Times New Roman" w:eastAsia="Times New Roman"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6" w15:restartNumberingAfterBreak="0">
    <w:nsid w:val="40D01ECD"/>
    <w:multiLevelType w:val="hybridMultilevel"/>
    <w:tmpl w:val="5E101130"/>
    <w:lvl w:ilvl="0" w:tplc="2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7A96D92"/>
    <w:multiLevelType w:val="hybridMultilevel"/>
    <w:tmpl w:val="7834F4F8"/>
    <w:lvl w:ilvl="0" w:tplc="D9AC1352">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5D7249"/>
    <w:multiLevelType w:val="hybridMultilevel"/>
    <w:tmpl w:val="5E4E70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251BD7"/>
    <w:multiLevelType w:val="hybridMultilevel"/>
    <w:tmpl w:val="9C107B48"/>
    <w:lvl w:ilvl="0" w:tplc="241A0001">
      <w:start w:val="1"/>
      <w:numFmt w:val="bullet"/>
      <w:lvlText w:val=""/>
      <w:lvlJc w:val="left"/>
      <w:pPr>
        <w:ind w:left="1429" w:hanging="360"/>
      </w:pPr>
      <w:rPr>
        <w:rFonts w:ascii="Symbol" w:hAnsi="Symbol" w:hint="default"/>
      </w:rPr>
    </w:lvl>
    <w:lvl w:ilvl="1" w:tplc="241A0003" w:tentative="1">
      <w:start w:val="1"/>
      <w:numFmt w:val="bullet"/>
      <w:lvlText w:val="o"/>
      <w:lvlJc w:val="left"/>
      <w:pPr>
        <w:ind w:left="2149" w:hanging="360"/>
      </w:pPr>
      <w:rPr>
        <w:rFonts w:ascii="Courier New" w:hAnsi="Courier New" w:cs="Courier New" w:hint="default"/>
      </w:rPr>
    </w:lvl>
    <w:lvl w:ilvl="2" w:tplc="241A0005" w:tentative="1">
      <w:start w:val="1"/>
      <w:numFmt w:val="bullet"/>
      <w:lvlText w:val=""/>
      <w:lvlJc w:val="left"/>
      <w:pPr>
        <w:ind w:left="2869" w:hanging="360"/>
      </w:pPr>
      <w:rPr>
        <w:rFonts w:ascii="Wingdings" w:hAnsi="Wingdings" w:hint="default"/>
      </w:rPr>
    </w:lvl>
    <w:lvl w:ilvl="3" w:tplc="241A0001" w:tentative="1">
      <w:start w:val="1"/>
      <w:numFmt w:val="bullet"/>
      <w:lvlText w:val=""/>
      <w:lvlJc w:val="left"/>
      <w:pPr>
        <w:ind w:left="3589" w:hanging="360"/>
      </w:pPr>
      <w:rPr>
        <w:rFonts w:ascii="Symbol" w:hAnsi="Symbol" w:hint="default"/>
      </w:rPr>
    </w:lvl>
    <w:lvl w:ilvl="4" w:tplc="241A0003" w:tentative="1">
      <w:start w:val="1"/>
      <w:numFmt w:val="bullet"/>
      <w:lvlText w:val="o"/>
      <w:lvlJc w:val="left"/>
      <w:pPr>
        <w:ind w:left="4309" w:hanging="360"/>
      </w:pPr>
      <w:rPr>
        <w:rFonts w:ascii="Courier New" w:hAnsi="Courier New" w:cs="Courier New" w:hint="default"/>
      </w:rPr>
    </w:lvl>
    <w:lvl w:ilvl="5" w:tplc="241A0005" w:tentative="1">
      <w:start w:val="1"/>
      <w:numFmt w:val="bullet"/>
      <w:lvlText w:val=""/>
      <w:lvlJc w:val="left"/>
      <w:pPr>
        <w:ind w:left="5029" w:hanging="360"/>
      </w:pPr>
      <w:rPr>
        <w:rFonts w:ascii="Wingdings" w:hAnsi="Wingdings" w:hint="default"/>
      </w:rPr>
    </w:lvl>
    <w:lvl w:ilvl="6" w:tplc="241A0001" w:tentative="1">
      <w:start w:val="1"/>
      <w:numFmt w:val="bullet"/>
      <w:lvlText w:val=""/>
      <w:lvlJc w:val="left"/>
      <w:pPr>
        <w:ind w:left="5749" w:hanging="360"/>
      </w:pPr>
      <w:rPr>
        <w:rFonts w:ascii="Symbol" w:hAnsi="Symbol" w:hint="default"/>
      </w:rPr>
    </w:lvl>
    <w:lvl w:ilvl="7" w:tplc="241A0003" w:tentative="1">
      <w:start w:val="1"/>
      <w:numFmt w:val="bullet"/>
      <w:lvlText w:val="o"/>
      <w:lvlJc w:val="left"/>
      <w:pPr>
        <w:ind w:left="6469" w:hanging="360"/>
      </w:pPr>
      <w:rPr>
        <w:rFonts w:ascii="Courier New" w:hAnsi="Courier New" w:cs="Courier New" w:hint="default"/>
      </w:rPr>
    </w:lvl>
    <w:lvl w:ilvl="8" w:tplc="241A0005" w:tentative="1">
      <w:start w:val="1"/>
      <w:numFmt w:val="bullet"/>
      <w:lvlText w:val=""/>
      <w:lvlJc w:val="left"/>
      <w:pPr>
        <w:ind w:left="7189" w:hanging="360"/>
      </w:pPr>
      <w:rPr>
        <w:rFonts w:ascii="Wingdings" w:hAnsi="Wingdings" w:hint="default"/>
      </w:rPr>
    </w:lvl>
  </w:abstractNum>
  <w:abstractNum w:abstractNumId="10" w15:restartNumberingAfterBreak="0">
    <w:nsid w:val="72493151"/>
    <w:multiLevelType w:val="multilevel"/>
    <w:tmpl w:val="72493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65B4DB3"/>
    <w:multiLevelType w:val="hybridMultilevel"/>
    <w:tmpl w:val="1708E78A"/>
    <w:lvl w:ilvl="0" w:tplc="CD3852C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5835355">
    <w:abstractNumId w:val="10"/>
  </w:num>
  <w:num w:numId="2" w16cid:durableId="2018187537">
    <w:abstractNumId w:val="11"/>
  </w:num>
  <w:num w:numId="3" w16cid:durableId="936057886">
    <w:abstractNumId w:val="7"/>
  </w:num>
  <w:num w:numId="4" w16cid:durableId="1144548377">
    <w:abstractNumId w:val="5"/>
  </w:num>
  <w:num w:numId="5" w16cid:durableId="2104762052">
    <w:abstractNumId w:val="9"/>
  </w:num>
  <w:num w:numId="6" w16cid:durableId="713696882">
    <w:abstractNumId w:val="0"/>
  </w:num>
  <w:num w:numId="7" w16cid:durableId="127168587">
    <w:abstractNumId w:val="3"/>
  </w:num>
  <w:num w:numId="8" w16cid:durableId="1427919224">
    <w:abstractNumId w:val="4"/>
  </w:num>
  <w:num w:numId="9" w16cid:durableId="26876761">
    <w:abstractNumId w:val="8"/>
  </w:num>
  <w:num w:numId="10" w16cid:durableId="1755664715">
    <w:abstractNumId w:val="2"/>
  </w:num>
  <w:num w:numId="11" w16cid:durableId="2064057751">
    <w:abstractNumId w:val="1"/>
  </w:num>
  <w:num w:numId="12" w16cid:durableId="11892248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BB9"/>
    <w:rsid w:val="00021B19"/>
    <w:rsid w:val="00076E68"/>
    <w:rsid w:val="003356AC"/>
    <w:rsid w:val="0052166F"/>
    <w:rsid w:val="009F6D0E"/>
    <w:rsid w:val="00A9524E"/>
    <w:rsid w:val="00CD7E0E"/>
    <w:rsid w:val="00E82BB9"/>
    <w:rsid w:val="00EF796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68109"/>
  <w15:chartTrackingRefBased/>
  <w15:docId w15:val="{85A15FEE-D094-4D00-BAA1-33624964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BB9"/>
    <w:pPr>
      <w:spacing w:after="0" w:line="240" w:lineRule="auto"/>
    </w:pPr>
    <w:rPr>
      <w:rFonts w:ascii="Times New Roman" w:eastAsia="Times New Roman" w:hAnsi="Times New Roman" w:cs="Times New Roman"/>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References,Numbered Paragraph,Main numbered paragraph,Colorful List - Accent 11,List_Paragraph,Multilevel para_II,List Paragraph1,123 List Paragraph,List Paragraph nowy,Liste 1,Bullet paras,Citation List,Bullets"/>
    <w:basedOn w:val="Normal"/>
    <w:link w:val="ListParagraphChar"/>
    <w:uiPriority w:val="34"/>
    <w:qFormat/>
    <w:rsid w:val="00E82BB9"/>
    <w:pPr>
      <w:ind w:left="720"/>
      <w:contextualSpacing/>
    </w:p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123 List Paragraph Char,Liste 1 Char"/>
    <w:link w:val="ListParagraph"/>
    <w:uiPriority w:val="34"/>
    <w:qFormat/>
    <w:locked/>
    <w:rsid w:val="00E82BB9"/>
    <w:rPr>
      <w:rFonts w:ascii="Times New Roman" w:eastAsia="Times New Roman" w:hAnsi="Times New Roman" w:cs="Times New Roman"/>
      <w:kern w:val="0"/>
      <w:sz w:val="24"/>
      <w:szCs w:val="24"/>
      <w:lang w:val="en-US"/>
    </w:rPr>
  </w:style>
  <w:style w:type="paragraph" w:styleId="BodyText">
    <w:name w:val="Body Text"/>
    <w:basedOn w:val="Normal"/>
    <w:link w:val="BodyTextChar"/>
    <w:uiPriority w:val="99"/>
    <w:unhideWhenUsed/>
    <w:qFormat/>
    <w:rsid w:val="00E82BB9"/>
    <w:pPr>
      <w:spacing w:after="120"/>
    </w:pPr>
  </w:style>
  <w:style w:type="character" w:customStyle="1" w:styleId="BodyTextChar">
    <w:name w:val="Body Text Char"/>
    <w:basedOn w:val="DefaultParagraphFont"/>
    <w:link w:val="BodyText"/>
    <w:uiPriority w:val="99"/>
    <w:qFormat/>
    <w:rsid w:val="00E82BB9"/>
    <w:rPr>
      <w:rFonts w:ascii="Times New Roman" w:eastAsia="Times New Roman" w:hAnsi="Times New Roman" w:cs="Times New Roman"/>
      <w:kern w:val="0"/>
      <w:sz w:val="24"/>
      <w:szCs w:val="24"/>
      <w:lang w:val="en-US"/>
    </w:rPr>
  </w:style>
  <w:style w:type="paragraph" w:styleId="FootnoteText">
    <w:name w:val="footnote text"/>
    <w:basedOn w:val="Normal"/>
    <w:link w:val="FootnoteTextChar"/>
    <w:uiPriority w:val="99"/>
    <w:semiHidden/>
    <w:unhideWhenUsed/>
    <w:rsid w:val="00E82BB9"/>
    <w:rPr>
      <w:sz w:val="20"/>
      <w:szCs w:val="20"/>
    </w:rPr>
  </w:style>
  <w:style w:type="character" w:customStyle="1" w:styleId="FootnoteTextChar">
    <w:name w:val="Footnote Text Char"/>
    <w:basedOn w:val="DefaultParagraphFont"/>
    <w:link w:val="FootnoteText"/>
    <w:uiPriority w:val="99"/>
    <w:semiHidden/>
    <w:rsid w:val="00E82BB9"/>
    <w:rPr>
      <w:rFonts w:ascii="Times New Roman" w:eastAsia="Times New Roman" w:hAnsi="Times New Roman" w:cs="Times New Roman"/>
      <w:kern w:val="0"/>
      <w:sz w:val="20"/>
      <w:szCs w:val="20"/>
      <w:lang w:val="en-US"/>
    </w:rPr>
  </w:style>
  <w:style w:type="character" w:styleId="FootnoteReference">
    <w:name w:val="footnote reference"/>
    <w:basedOn w:val="DefaultParagraphFont"/>
    <w:uiPriority w:val="99"/>
    <w:semiHidden/>
    <w:unhideWhenUsed/>
    <w:rsid w:val="00E82BB9"/>
    <w:rPr>
      <w:vertAlign w:val="superscript"/>
    </w:rPr>
  </w:style>
  <w:style w:type="character" w:styleId="Emphasis">
    <w:name w:val="Emphasis"/>
    <w:basedOn w:val="DefaultParagraphFont"/>
    <w:uiPriority w:val="20"/>
    <w:qFormat/>
    <w:rsid w:val="00E82BB9"/>
    <w:rPr>
      <w:i/>
      <w:iCs/>
    </w:rPr>
  </w:style>
  <w:style w:type="paragraph" w:customStyle="1" w:styleId="Default">
    <w:name w:val="Default"/>
    <w:rsid w:val="00E82BB9"/>
    <w:pPr>
      <w:autoSpaceDE w:val="0"/>
      <w:autoSpaceDN w:val="0"/>
      <w:adjustRightInd w:val="0"/>
      <w:spacing w:after="0" w:line="240" w:lineRule="auto"/>
    </w:pPr>
    <w:rPr>
      <w:rFonts w:ascii="Times New Roman" w:eastAsia="Calibri" w:hAnsi="Times New Roman" w:cs="Times New Roman"/>
      <w:color w:val="000000"/>
      <w:kern w:val="0"/>
      <w:sz w:val="24"/>
      <w:szCs w:val="24"/>
      <w:lang w:val="en-GB"/>
    </w:rPr>
  </w:style>
  <w:style w:type="paragraph" w:styleId="BodyText2">
    <w:name w:val="Body Text 2"/>
    <w:basedOn w:val="Normal"/>
    <w:link w:val="BodyText2Char"/>
    <w:uiPriority w:val="99"/>
    <w:semiHidden/>
    <w:unhideWhenUsed/>
    <w:rsid w:val="00E82BB9"/>
    <w:pPr>
      <w:spacing w:after="120" w:line="480" w:lineRule="auto"/>
    </w:pPr>
  </w:style>
  <w:style w:type="character" w:customStyle="1" w:styleId="BodyText2Char">
    <w:name w:val="Body Text 2 Char"/>
    <w:basedOn w:val="DefaultParagraphFont"/>
    <w:link w:val="BodyText2"/>
    <w:uiPriority w:val="99"/>
    <w:semiHidden/>
    <w:rsid w:val="00E82BB9"/>
    <w:rPr>
      <w:rFonts w:ascii="Times New Roman" w:eastAsia="Times New Roman"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Dodić</dc:creator>
  <cp:keywords/>
  <dc:description/>
  <cp:lastModifiedBy>Bojana Dodić</cp:lastModifiedBy>
  <cp:revision>4</cp:revision>
  <dcterms:created xsi:type="dcterms:W3CDTF">2023-12-01T13:12:00Z</dcterms:created>
  <dcterms:modified xsi:type="dcterms:W3CDTF">2023-12-07T08:28:00Z</dcterms:modified>
</cp:coreProperties>
</file>